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D94" w:rsidRPr="00AF6AC3" w:rsidRDefault="00D44D94" w:rsidP="005776E9">
      <w:pPr>
        <w:pStyle w:val="berschrift1"/>
        <w:spacing w:before="0" w:after="0" w:line="276" w:lineRule="auto"/>
        <w:jc w:val="left"/>
      </w:pPr>
      <w:r w:rsidRPr="00AF6AC3">
        <w:t xml:space="preserve">Aéroport de Bologne : </w:t>
      </w:r>
      <w:r>
        <w:t>le rôle clé d</w:t>
      </w:r>
      <w:r w:rsidRPr="00AF6AC3">
        <w:t xml:space="preserve">es technologies du Wirtgen Group </w:t>
      </w:r>
    </w:p>
    <w:p w:rsidR="00D44D94" w:rsidRPr="00AF6AC3" w:rsidRDefault="00D44D94" w:rsidP="0030316D">
      <w:pPr>
        <w:pStyle w:val="Text"/>
      </w:pPr>
    </w:p>
    <w:p w:rsidR="00D44D94" w:rsidRPr="00AF6AC3" w:rsidRDefault="00D44D94" w:rsidP="006A16CC">
      <w:pPr>
        <w:pStyle w:val="Text"/>
        <w:spacing w:line="276" w:lineRule="auto"/>
      </w:pPr>
      <w:r w:rsidRPr="00AF6AC3">
        <w:rPr>
          <w:rStyle w:val="Hervorhebung"/>
        </w:rPr>
        <w:t xml:space="preserve">7 machines Wirtgen, </w:t>
      </w:r>
      <w:proofErr w:type="spellStart"/>
      <w:r w:rsidRPr="00AF6AC3">
        <w:rPr>
          <w:rStyle w:val="Hervorhebung"/>
        </w:rPr>
        <w:t>Vögele</w:t>
      </w:r>
      <w:proofErr w:type="spellEnd"/>
      <w:r w:rsidRPr="00AF6AC3">
        <w:rPr>
          <w:rStyle w:val="Hervorhebung"/>
        </w:rPr>
        <w:t xml:space="preserve"> et Hamm rénovent la piste endommagée de l’aéroport Guglielmo Marconi </w:t>
      </w:r>
      <w:r>
        <w:rPr>
          <w:rStyle w:val="Hervorhebung"/>
        </w:rPr>
        <w:t>de</w:t>
      </w:r>
      <w:r w:rsidRPr="00AF6AC3">
        <w:rPr>
          <w:rStyle w:val="Hervorhebung"/>
        </w:rPr>
        <w:t xml:space="preserve"> Bologne, en Italie, en un temps record et avec un maximum de précision grâce à la technologie du recyclage à froid.</w:t>
      </w:r>
      <w:r w:rsidRPr="00AF6AC3">
        <w:t xml:space="preserve"> </w:t>
      </w:r>
    </w:p>
    <w:p w:rsidR="00D44D94" w:rsidRPr="00AF6AC3" w:rsidRDefault="00D44D94" w:rsidP="006A16CC">
      <w:pPr>
        <w:pStyle w:val="Text"/>
        <w:spacing w:line="276" w:lineRule="auto"/>
        <w:rPr>
          <w:lang w:eastAsia="de-DE"/>
        </w:rPr>
      </w:pPr>
    </w:p>
    <w:p w:rsidR="00D44D94" w:rsidRPr="00AF6AC3" w:rsidRDefault="00D44D94" w:rsidP="006A16CC">
      <w:pPr>
        <w:pStyle w:val="Text"/>
        <w:spacing w:line="276" w:lineRule="auto"/>
      </w:pPr>
      <w:r w:rsidRPr="00AF6AC3">
        <w:t xml:space="preserve">Avec plus de 6,5 millions de passagers (2014), cet aéroport ouvert en 1931 figure aujourd’hui parmi les sept plus grands aéroports d’Italie. Les travaux de réfection actuellement </w:t>
      </w:r>
      <w:r>
        <w:t xml:space="preserve">en cours </w:t>
      </w:r>
      <w:r w:rsidRPr="00AF6AC3">
        <w:t xml:space="preserve">font partie d’un vaste programme de remise en état </w:t>
      </w:r>
      <w:r>
        <w:t>destiné à</w:t>
      </w:r>
      <w:r w:rsidRPr="00AF6AC3">
        <w:t xml:space="preserve"> améliorer l’infrastructure</w:t>
      </w:r>
      <w:r>
        <w:t xml:space="preserve"> dans son ensemble</w:t>
      </w:r>
      <w:r w:rsidRPr="00AF6AC3">
        <w:t>. Dans un premier temps, il s’agissait de rénover le tronçon de</w:t>
      </w:r>
      <w:r>
        <w:t xml:space="preserve"> la </w:t>
      </w:r>
      <w:r w:rsidRPr="00AF6AC3">
        <w:t xml:space="preserve">voie de circulation </w:t>
      </w:r>
      <w:r>
        <w:t xml:space="preserve">reliant </w:t>
      </w:r>
      <w:r w:rsidRPr="00AF6AC3">
        <w:t xml:space="preserve">les zones de raccordement TN (Tango </w:t>
      </w:r>
      <w:proofErr w:type="spellStart"/>
      <w:r w:rsidRPr="00AF6AC3">
        <w:t>November</w:t>
      </w:r>
      <w:proofErr w:type="spellEnd"/>
      <w:r w:rsidRPr="00AF6AC3">
        <w:t xml:space="preserve">) et TM (Tango Mike) – y compris le système d’évacuation d’eau, </w:t>
      </w:r>
      <w:r>
        <w:t xml:space="preserve">et de procéder à la </w:t>
      </w:r>
      <w:r w:rsidRPr="00AF6AC3">
        <w:t>stabilis</w:t>
      </w:r>
      <w:r>
        <w:t xml:space="preserve">ation </w:t>
      </w:r>
      <w:r w:rsidRPr="00AF6AC3">
        <w:t xml:space="preserve">et </w:t>
      </w:r>
      <w:r>
        <w:t>à l’</w:t>
      </w:r>
      <w:r w:rsidRPr="00AF6AC3">
        <w:t>élargi</w:t>
      </w:r>
      <w:r>
        <w:t>ssement d</w:t>
      </w:r>
      <w:r w:rsidRPr="00AF6AC3">
        <w:t xml:space="preserve">es accotements pour </w:t>
      </w:r>
      <w:r>
        <w:t>les faire passer à</w:t>
      </w:r>
      <w:r w:rsidRPr="00AF6AC3">
        <w:t xml:space="preserve"> </w:t>
      </w:r>
      <w:smartTag w:uri="urn:schemas-microsoft-com:office:smarttags" w:element="metricconverter">
        <w:smartTagPr>
          <w:attr w:name="ProductID" w:val="9 m"/>
        </w:smartTagPr>
        <w:r w:rsidRPr="00AF6AC3">
          <w:t>9 m</w:t>
        </w:r>
      </w:smartTag>
      <w:r w:rsidRPr="00AF6AC3">
        <w:t xml:space="preserve"> pour l’accotement intérieur (direction tarmac, actuellement de </w:t>
      </w:r>
      <w:smartTag w:uri="urn:schemas-microsoft-com:office:smarttags" w:element="metricconverter">
        <w:smartTagPr>
          <w:attr w:name="ProductID" w:val="3,50 m"/>
        </w:smartTagPr>
        <w:r w:rsidRPr="00AF6AC3">
          <w:t>3,50 m</w:t>
        </w:r>
      </w:smartTag>
      <w:r w:rsidRPr="00AF6AC3">
        <w:t xml:space="preserve">) et </w:t>
      </w:r>
      <w:r>
        <w:t xml:space="preserve">à </w:t>
      </w:r>
      <w:smartTag w:uri="urn:schemas-microsoft-com:office:smarttags" w:element="metricconverter">
        <w:smartTagPr>
          <w:attr w:name="ProductID" w:val="7,5 m"/>
        </w:smartTagPr>
        <w:r w:rsidRPr="00AF6AC3">
          <w:t>7,5 m</w:t>
        </w:r>
      </w:smartTag>
      <w:r w:rsidRPr="00AF6AC3">
        <w:t xml:space="preserve"> pour l’accotement extérieur (direction piste). </w:t>
      </w:r>
      <w:r>
        <w:t>L</w:t>
      </w:r>
      <w:r w:rsidRPr="00AF6AC3">
        <w:t>’exploitant de l’aéroport</w:t>
      </w:r>
      <w:r>
        <w:t xml:space="preserve"> exigeait aussi qu’un tronçon supplémentaire de </w:t>
      </w:r>
      <w:smartTag w:uri="urn:schemas-microsoft-com:office:smarttags" w:element="metricconverter">
        <w:smartTagPr>
          <w:attr w:name="ProductID" w:val="70 m"/>
        </w:smartTagPr>
        <w:r w:rsidRPr="00AF6AC3">
          <w:t>70 m</w:t>
        </w:r>
      </w:smartTag>
      <w:r w:rsidRPr="00AF6AC3">
        <w:t xml:space="preserve"> de voie de circulation en direction du raccordement TP (Tango Papa) </w:t>
      </w:r>
      <w:r>
        <w:t>soit stabilisé avant d’y poser un nouvel enrobé.</w:t>
      </w:r>
      <w:r w:rsidRPr="00AF6AC3">
        <w:t xml:space="preserve"> </w:t>
      </w:r>
    </w:p>
    <w:p w:rsidR="00D44D94" w:rsidRPr="00AF6AC3" w:rsidRDefault="00D44D94" w:rsidP="006A16CC">
      <w:pPr>
        <w:pStyle w:val="Text"/>
        <w:spacing w:line="276" w:lineRule="auto"/>
      </w:pPr>
    </w:p>
    <w:p w:rsidR="00D44D94" w:rsidRPr="00AF6AC3" w:rsidRDefault="00D44D94" w:rsidP="006A16CC">
      <w:pPr>
        <w:pStyle w:val="Text"/>
        <w:spacing w:line="276" w:lineRule="auto"/>
      </w:pPr>
      <w:r w:rsidRPr="00AF6AC3">
        <w:t>Il fallait également procéder à la réfection de la voie de service au sud du tarmac 2, ainsi que, dans un deuxième temps, au renouvellement de la surface de 4 parkings pour avions.</w:t>
      </w:r>
    </w:p>
    <w:p w:rsidR="00D44D94" w:rsidRPr="00AF6AC3" w:rsidRDefault="00D44D94" w:rsidP="006A16CC">
      <w:pPr>
        <w:pStyle w:val="Text"/>
        <w:spacing w:line="276" w:lineRule="auto"/>
      </w:pPr>
    </w:p>
    <w:p w:rsidR="00D44D94" w:rsidRPr="00AF6AC3" w:rsidRDefault="00D44D94" w:rsidP="006A16CC">
      <w:pPr>
        <w:pStyle w:val="Text"/>
        <w:spacing w:line="276" w:lineRule="auto"/>
        <w:rPr>
          <w:rStyle w:val="Hervorhebung"/>
        </w:rPr>
      </w:pPr>
      <w:r w:rsidRPr="00AF6AC3">
        <w:rPr>
          <w:rStyle w:val="Hervorhebung"/>
        </w:rPr>
        <w:t>La Wirtgen W 200 fraise des structures de revêtement complètes en toute puissance</w:t>
      </w:r>
    </w:p>
    <w:p w:rsidR="00D44D94" w:rsidRPr="00AF6AC3" w:rsidRDefault="00D44D94" w:rsidP="006A16CC">
      <w:pPr>
        <w:pStyle w:val="Text"/>
        <w:spacing w:line="276" w:lineRule="auto"/>
      </w:pPr>
      <w:r w:rsidRPr="00AF6AC3">
        <w:t xml:space="preserve">Lors du choix de la machine, l’entreprise exécutante </w:t>
      </w:r>
      <w:proofErr w:type="spellStart"/>
      <w:r w:rsidRPr="00AF6AC3">
        <w:t>Bindi</w:t>
      </w:r>
      <w:proofErr w:type="spellEnd"/>
      <w:r w:rsidRPr="00AF6AC3">
        <w:t xml:space="preserve"> </w:t>
      </w:r>
      <w:proofErr w:type="spellStart"/>
      <w:r w:rsidRPr="00AF6AC3">
        <w:t>S.p.A</w:t>
      </w:r>
      <w:proofErr w:type="spellEnd"/>
      <w:r w:rsidRPr="00AF6AC3">
        <w:t xml:space="preserve">. a encore une fois fait confiance aux technologies sophistiquées du Wirtgen Group. </w:t>
      </w:r>
      <w:r>
        <w:t>C</w:t>
      </w:r>
      <w:r w:rsidRPr="00AF6AC3">
        <w:t>omme d’habitude</w:t>
      </w:r>
      <w:r>
        <w:t>,</w:t>
      </w:r>
      <w:r w:rsidRPr="00AF6AC3">
        <w:t xml:space="preserve"> </w:t>
      </w:r>
      <w:r>
        <w:t>c</w:t>
      </w:r>
      <w:r w:rsidRPr="00AF6AC3">
        <w:t xml:space="preserve">’est une fraiseuse à froid qui a ouvert les travaux, ici la W 200. Elle est </w:t>
      </w:r>
      <w:r>
        <w:t xml:space="preserve">en effet </w:t>
      </w:r>
      <w:r w:rsidRPr="00AF6AC3">
        <w:t>prédestinée</w:t>
      </w:r>
      <w:r>
        <w:t>, entre autres,</w:t>
      </w:r>
      <w:r w:rsidRPr="00AF6AC3">
        <w:t xml:space="preserve"> </w:t>
      </w:r>
      <w:r>
        <w:t>au</w:t>
      </w:r>
      <w:r w:rsidRPr="00AF6AC3">
        <w:t xml:space="preserve"> fraisage sélectif de couches de roulement sur de grandes superficies avec des rendements journaliers élevés. Sur la voie de circulation de </w:t>
      </w:r>
      <w:smartTag w:uri="urn:schemas-microsoft-com:office:smarttags" w:element="metricconverter">
        <w:smartTagPr>
          <w:attr w:name="ProductID" w:val="340 m"/>
        </w:smartTagPr>
        <w:r w:rsidRPr="00AF6AC3">
          <w:t>340 m</w:t>
        </w:r>
      </w:smartTag>
      <w:r w:rsidRPr="00AF6AC3">
        <w:t xml:space="preserve"> de longueur et de </w:t>
      </w:r>
      <w:smartTag w:uri="urn:schemas-microsoft-com:office:smarttags" w:element="metricconverter">
        <w:smartTagPr>
          <w:attr w:name="ProductID" w:val="23 m"/>
        </w:smartTagPr>
        <w:r w:rsidRPr="00AF6AC3">
          <w:t>23 m</w:t>
        </w:r>
      </w:smartTag>
      <w:r w:rsidRPr="00AF6AC3">
        <w:t xml:space="preserve"> de largeur, caractérisée par une forte usure, la grande fraiseuse a également relevé le défi d’enlever tout le corps de chaussée de </w:t>
      </w:r>
      <w:smartTag w:uri="urn:schemas-microsoft-com:office:smarttags" w:element="metricconverter">
        <w:smartTagPr>
          <w:attr w:name="ProductID" w:val="70 cm"/>
        </w:smartTagPr>
        <w:r w:rsidRPr="00AF6AC3">
          <w:t>70 cm</w:t>
        </w:r>
      </w:smartTag>
      <w:r w:rsidRPr="00AF6AC3">
        <w:t xml:space="preserve"> au total en trois passages. Une décision prise par les responsables</w:t>
      </w:r>
      <w:r>
        <w:t xml:space="preserve"> au vu d’indices indiquant clairement l’</w:t>
      </w:r>
      <w:r w:rsidRPr="00AF6AC3">
        <w:t xml:space="preserve">affaiblissement de la portance des couches de base sous-jacentes. </w:t>
      </w:r>
    </w:p>
    <w:p w:rsidR="008D2493" w:rsidRDefault="008D2493">
      <w:pPr>
        <w:rPr>
          <w:sz w:val="22"/>
        </w:rPr>
      </w:pPr>
      <w:r>
        <w:br w:type="page"/>
      </w:r>
    </w:p>
    <w:p w:rsidR="00D44D94" w:rsidRPr="00AF6AC3" w:rsidRDefault="00D44D94" w:rsidP="006A16CC">
      <w:pPr>
        <w:pStyle w:val="Text"/>
        <w:spacing w:line="276" w:lineRule="auto"/>
      </w:pPr>
      <w:r w:rsidRPr="00AF6AC3">
        <w:lastRenderedPageBreak/>
        <w:t xml:space="preserve">Pour </w:t>
      </w:r>
      <w:r>
        <w:t>effectuer le décaissement</w:t>
      </w:r>
      <w:r w:rsidRPr="00AF6AC3">
        <w:t xml:space="preserve"> avec puissance et rentabilité, le conducteur de </w:t>
      </w:r>
      <w:r>
        <w:t xml:space="preserve">la </w:t>
      </w:r>
      <w:r w:rsidRPr="00AF6AC3">
        <w:t xml:space="preserve">machine a eu recours à l’une des nombreuses fonctionnalités </w:t>
      </w:r>
      <w:r>
        <w:t xml:space="preserve">pratiques </w:t>
      </w:r>
      <w:r w:rsidRPr="00AF6AC3">
        <w:t xml:space="preserve">de la W 200, à savoir les trois différentes vitesses de rotation du tambour de fraisage. </w:t>
      </w:r>
      <w:r>
        <w:t>Sélectionnées</w:t>
      </w:r>
      <w:r w:rsidRPr="00AF6AC3">
        <w:t xml:space="preserve"> confortablement depuis le poste de conduite, elles assurent le rendement de fraisage idéal en fonction des exigences. Sur ce chantier, c’est la vitesse du tambour de fraisage la plus faible qui était requise. Elle a permis à la W 200, </w:t>
      </w:r>
      <w:r>
        <w:t>et ses</w:t>
      </w:r>
      <w:r w:rsidRPr="00AF6AC3">
        <w:t xml:space="preserve"> 558 </w:t>
      </w:r>
      <w:proofErr w:type="spellStart"/>
      <w:r w:rsidRPr="00AF6AC3">
        <w:t>ch</w:t>
      </w:r>
      <w:proofErr w:type="spellEnd"/>
      <w:r w:rsidRPr="00AF6AC3">
        <w:t xml:space="preserve"> de puissance, d’atteindre le rendement de fraisage maximum tout en réduisant la consommation de carburant par mètre cube de matériau fraisé. </w:t>
      </w:r>
      <w:r>
        <w:t>À cette vitesse de rotation, l</w:t>
      </w:r>
      <w:r w:rsidRPr="00AF6AC3">
        <w:t>’usure des pics est également très réduite.</w:t>
      </w:r>
    </w:p>
    <w:p w:rsidR="00D44D94" w:rsidRPr="00AF6AC3" w:rsidRDefault="00D44D94" w:rsidP="006A16CC">
      <w:pPr>
        <w:pStyle w:val="Text"/>
        <w:spacing w:line="276" w:lineRule="auto"/>
      </w:pPr>
    </w:p>
    <w:p w:rsidR="00D44D94" w:rsidRPr="00AF6AC3" w:rsidRDefault="00D44D94" w:rsidP="006A16CC">
      <w:pPr>
        <w:pStyle w:val="Text"/>
        <w:spacing w:line="276" w:lineRule="auto"/>
        <w:rPr>
          <w:b/>
        </w:rPr>
      </w:pPr>
      <w:r w:rsidRPr="00AF6AC3">
        <w:rPr>
          <w:b/>
        </w:rPr>
        <w:t>La technologie de recyclage à froid de Wirtgen avec le WR 2400 et le KMA 220</w:t>
      </w:r>
    </w:p>
    <w:p w:rsidR="00D44D94" w:rsidRPr="00AF6AC3" w:rsidRDefault="00D44D94" w:rsidP="006A16CC">
      <w:pPr>
        <w:pStyle w:val="Text"/>
        <w:spacing w:line="276" w:lineRule="auto"/>
      </w:pPr>
      <w:r w:rsidRPr="00AF6AC3">
        <w:t>Mais avant de pose</w:t>
      </w:r>
      <w:r>
        <w:t>r</w:t>
      </w:r>
      <w:r w:rsidRPr="00AF6AC3">
        <w:t xml:space="preserve"> le nouvel enrobé sur la voie de circulation, il fallait impérativement stabiliser l’assise </w:t>
      </w:r>
      <w:r>
        <w:t xml:space="preserve">devenue d’une </w:t>
      </w:r>
      <w:r w:rsidRPr="00AF6AC3">
        <w:t>portan</w:t>
      </w:r>
      <w:r>
        <w:t>c</w:t>
      </w:r>
      <w:r w:rsidRPr="00AF6AC3">
        <w:t>e</w:t>
      </w:r>
      <w:r>
        <w:t xml:space="preserve"> insuffisante</w:t>
      </w:r>
      <w:r w:rsidRPr="00AF6AC3">
        <w:t xml:space="preserve">. Une mission faite pour les recycleurs et stabilisateurs de sol Wirtgen, qui </w:t>
      </w:r>
      <w:r>
        <w:t>re</w:t>
      </w:r>
      <w:r w:rsidRPr="00AF6AC3">
        <w:t xml:space="preserve">donnent stabilité aux sols par adjonction de liants ou </w:t>
      </w:r>
      <w:r>
        <w:t xml:space="preserve">bien </w:t>
      </w:r>
      <w:r w:rsidRPr="00AF6AC3">
        <w:t xml:space="preserve">rénovent les chaussées en utilisant le matériau fraisé enlevé, et donc en ménageant les ressources et dans le respect de l’environnement. </w:t>
      </w:r>
      <w:r>
        <w:t>Ou bien ils font les deux</w:t>
      </w:r>
      <w:r w:rsidRPr="00AF6AC3">
        <w:t xml:space="preserve"> à la fois – comme </w:t>
      </w:r>
      <w:r>
        <w:t xml:space="preserve">ce fut le cas </w:t>
      </w:r>
      <w:r w:rsidRPr="00AF6AC3">
        <w:t xml:space="preserve">sur </w:t>
      </w:r>
      <w:r>
        <w:t>c</w:t>
      </w:r>
      <w:r w:rsidRPr="00AF6AC3">
        <w:t xml:space="preserve">e chantier </w:t>
      </w:r>
      <w:r>
        <w:t xml:space="preserve">avec </w:t>
      </w:r>
      <w:r w:rsidRPr="00AF6AC3">
        <w:t xml:space="preserve">le recycleur et stabilisateur de sol Wirtgen WR 2400. </w:t>
      </w:r>
    </w:p>
    <w:p w:rsidR="00D44D94" w:rsidRPr="00AF6AC3" w:rsidRDefault="00D44D94" w:rsidP="006A16CC">
      <w:pPr>
        <w:pStyle w:val="Text"/>
        <w:spacing w:line="276" w:lineRule="auto"/>
      </w:pPr>
    </w:p>
    <w:p w:rsidR="00D44D94" w:rsidRPr="00AF6AC3" w:rsidRDefault="00D44D94" w:rsidP="006A16CC">
      <w:pPr>
        <w:pStyle w:val="Text"/>
        <w:spacing w:line="276" w:lineRule="auto"/>
      </w:pPr>
      <w:r w:rsidRPr="00AF6AC3">
        <w:t xml:space="preserve">L’assise étant constituée </w:t>
      </w:r>
      <w:r>
        <w:t>à parts égales</w:t>
      </w:r>
      <w:r w:rsidRPr="00AF6AC3">
        <w:t xml:space="preserve"> de sol argileux et d’un mélange sable-gravillons, le recycleur et stabilisateur de sol s’est chargé de le mélanger d’abord avec de la chaux, puis, dans une deuxième étape, avec du ciment. </w:t>
      </w:r>
      <w:r>
        <w:t>L</w:t>
      </w:r>
      <w:r w:rsidRPr="00AF6AC3">
        <w:t xml:space="preserve">e sol ainsi stabilisé et désormais durablement portant a été </w:t>
      </w:r>
      <w:r>
        <w:t>recouvert d’une couche de</w:t>
      </w:r>
      <w:r w:rsidRPr="00AF6AC3">
        <w:t xml:space="preserve"> </w:t>
      </w:r>
      <w:smartTag w:uri="urn:schemas-microsoft-com:office:smarttags" w:element="metricconverter">
        <w:smartTagPr>
          <w:attr w:name="ProductID" w:val="50 cm"/>
        </w:smartTagPr>
        <w:r w:rsidRPr="00AF6AC3">
          <w:t>50 cm</w:t>
        </w:r>
      </w:smartTag>
      <w:r w:rsidRPr="00AF6AC3">
        <w:t xml:space="preserve"> de matériau à recycler avec une teneur en ciment de 6 %. Pour la réalisation de la nouvelle couche de base, </w:t>
      </w:r>
      <w:proofErr w:type="spellStart"/>
      <w:r w:rsidRPr="00AF6AC3">
        <w:t>Bindi</w:t>
      </w:r>
      <w:proofErr w:type="spellEnd"/>
      <w:r w:rsidRPr="00AF6AC3">
        <w:t xml:space="preserve"> a opté pour une combinaison entre </w:t>
      </w:r>
      <w:r>
        <w:t>« </w:t>
      </w:r>
      <w:r w:rsidRPr="00AF6AC3">
        <w:t>in</w:t>
      </w:r>
      <w:r>
        <w:t xml:space="preserve"> </w:t>
      </w:r>
      <w:r w:rsidRPr="00AF6AC3">
        <w:t>situ</w:t>
      </w:r>
      <w:r>
        <w:t> »</w:t>
      </w:r>
      <w:r w:rsidRPr="00AF6AC3">
        <w:t xml:space="preserve"> (= sur site) et </w:t>
      </w:r>
      <w:r>
        <w:t>« </w:t>
      </w:r>
      <w:r w:rsidRPr="00AF6AC3">
        <w:t>in</w:t>
      </w:r>
      <w:r>
        <w:t xml:space="preserve"> </w:t>
      </w:r>
      <w:r w:rsidRPr="00AF6AC3">
        <w:t>plant</w:t>
      </w:r>
      <w:r>
        <w:t> »</w:t>
      </w:r>
      <w:r w:rsidRPr="00AF6AC3">
        <w:t xml:space="preserve"> (= </w:t>
      </w:r>
      <w:r>
        <w:t>en centrale</w:t>
      </w:r>
      <w:r w:rsidRPr="00AF6AC3">
        <w:t xml:space="preserve">), la méthode la plus efficace compte tenu des conditions locales. Le recycleur et stabilisateur de sol Wirtgen est donc intervenu </w:t>
      </w:r>
      <w:r>
        <w:t xml:space="preserve">à nouveau, </w:t>
      </w:r>
      <w:r w:rsidRPr="00AF6AC3">
        <w:t xml:space="preserve">après </w:t>
      </w:r>
      <w:r>
        <w:t xml:space="preserve">avoir laissé </w:t>
      </w:r>
      <w:r w:rsidRPr="00AF6AC3">
        <w:t xml:space="preserve">une pelle </w:t>
      </w:r>
      <w:r>
        <w:t>remettre</w:t>
      </w:r>
      <w:r w:rsidRPr="00AF6AC3">
        <w:t xml:space="preserve"> en place dans la bande de fraisage les </w:t>
      </w:r>
      <w:smartTag w:uri="urn:schemas-microsoft-com:office:smarttags" w:element="metricconverter">
        <w:smartTagPr>
          <w:attr w:name="ProductID" w:val="200 km"/>
        </w:smartTagPr>
        <w:r w:rsidRPr="00AF6AC3">
          <w:t>25 cm</w:t>
        </w:r>
      </w:smartTag>
      <w:r w:rsidRPr="00AF6AC3">
        <w:t xml:space="preserve"> de matériau fraisé. Cette fois, le puissant rotor de fraisage et de malaxage du WR 2400 a brassé le matériau</w:t>
      </w:r>
      <w:r>
        <w:t>,</w:t>
      </w:r>
      <w:r w:rsidRPr="00AF6AC3">
        <w:t xml:space="preserve"> </w:t>
      </w:r>
      <w:r>
        <w:t>avec</w:t>
      </w:r>
      <w:r w:rsidRPr="00AF6AC3">
        <w:t xml:space="preserve"> adjonction d’eau et de ciment</w:t>
      </w:r>
      <w:r>
        <w:t>,</w:t>
      </w:r>
      <w:r w:rsidRPr="00AF6AC3">
        <w:t xml:space="preserve"> pour en faire un mélange homogène. </w:t>
      </w:r>
    </w:p>
    <w:p w:rsidR="00D44D94" w:rsidRPr="00AF6AC3" w:rsidRDefault="00D44D94" w:rsidP="006A16CC">
      <w:pPr>
        <w:pStyle w:val="Text"/>
        <w:spacing w:line="276" w:lineRule="auto"/>
      </w:pPr>
    </w:p>
    <w:p w:rsidR="008D2493" w:rsidRDefault="00D44D94" w:rsidP="006A16CC">
      <w:pPr>
        <w:pStyle w:val="Text"/>
        <w:spacing w:line="276" w:lineRule="auto"/>
      </w:pPr>
      <w:r w:rsidRPr="00AF6AC3">
        <w:t>En parallèle, seulement quelques mètres plus loin</w:t>
      </w:r>
      <w:r>
        <w:t>, en dehors du périmètre</w:t>
      </w:r>
      <w:r w:rsidRPr="00AF6AC3">
        <w:t xml:space="preserve"> de l’aéroport, le mélangeur mobile pour recyclage à froid Wirtgen KMA 220 a assuré le malaxage de l’enrobé </w:t>
      </w:r>
      <w:r>
        <w:t>destiné à</w:t>
      </w:r>
      <w:r w:rsidRPr="00AF6AC3">
        <w:t xml:space="preserve"> la deuxième couche </w:t>
      </w:r>
      <w:r>
        <w:t xml:space="preserve">devant </w:t>
      </w:r>
      <w:r w:rsidRPr="00AF6AC3">
        <w:t>également</w:t>
      </w:r>
      <w:r>
        <w:t xml:space="preserve"> être</w:t>
      </w:r>
      <w:r w:rsidRPr="00AF6AC3">
        <w:t xml:space="preserve"> pos</w:t>
      </w:r>
      <w:r>
        <w:t>ée</w:t>
      </w:r>
      <w:r w:rsidRPr="00AF6AC3">
        <w:t xml:space="preserve"> sur </w:t>
      </w:r>
      <w:smartTag w:uri="urn:schemas-microsoft-com:office:smarttags" w:element="metricconverter">
        <w:smartTagPr>
          <w:attr w:name="ProductID" w:val="200 km"/>
        </w:smartTagPr>
        <w:r w:rsidRPr="00AF6AC3">
          <w:t>25 cm</w:t>
        </w:r>
      </w:smartTag>
      <w:r w:rsidRPr="00AF6AC3">
        <w:t xml:space="preserve">. </w:t>
      </w:r>
      <w:r>
        <w:t>C</w:t>
      </w:r>
      <w:r w:rsidRPr="00AF6AC3">
        <w:t xml:space="preserve">e </w:t>
      </w:r>
      <w:r>
        <w:t xml:space="preserve">mélangeur peut produire de </w:t>
      </w:r>
      <w:r w:rsidRPr="00AF6AC3">
        <w:t xml:space="preserve">l’enrobé à froid à partir de nouveaux mélanges granulaires </w:t>
      </w:r>
      <w:r>
        <w:t>les plus</w:t>
      </w:r>
      <w:r w:rsidRPr="00AF6AC3">
        <w:t xml:space="preserve"> différents, de matériau fraisé à re</w:t>
      </w:r>
      <w:r>
        <w:t>c</w:t>
      </w:r>
      <w:r w:rsidRPr="00AF6AC3">
        <w:t xml:space="preserve">ycler et de liants. Fournissant un rendement de malaxage maximum de 220 t/h, le KMA 220 arrive à produire toutes les 6 minutes </w:t>
      </w:r>
      <w:r>
        <w:t>l’équivalent de la capacité d’un camion, ce qui correspond à</w:t>
      </w:r>
      <w:r w:rsidRPr="00AF6AC3">
        <w:t xml:space="preserve"> 20 tonnes d’enrobé pour recyclage à froid </w:t>
      </w:r>
      <w:r>
        <w:t>pouvant</w:t>
      </w:r>
      <w:r w:rsidRPr="00AF6AC3">
        <w:t xml:space="preserve"> être immédiatement remis en place. </w:t>
      </w:r>
    </w:p>
    <w:p w:rsidR="008D2493" w:rsidRDefault="008D2493" w:rsidP="008D2493">
      <w:pPr>
        <w:pStyle w:val="Text"/>
      </w:pPr>
      <w:r>
        <w:br w:type="page"/>
      </w:r>
    </w:p>
    <w:p w:rsidR="00D44D94" w:rsidRPr="00AF6AC3" w:rsidRDefault="00D44D94" w:rsidP="006A16CC">
      <w:pPr>
        <w:pStyle w:val="Text"/>
        <w:spacing w:line="276" w:lineRule="auto"/>
      </w:pPr>
      <w:r w:rsidRPr="00AF6AC3">
        <w:lastRenderedPageBreak/>
        <w:t xml:space="preserve">Le compactage de la couche recyclée finale de </w:t>
      </w:r>
      <w:smartTag w:uri="urn:schemas-microsoft-com:office:smarttags" w:element="metricconverter">
        <w:smartTagPr>
          <w:attr w:name="ProductID" w:val="200 km"/>
        </w:smartTagPr>
        <w:r w:rsidRPr="00AF6AC3">
          <w:t>50 cm</w:t>
        </w:r>
      </w:smartTag>
      <w:r w:rsidRPr="00AF6AC3">
        <w:t xml:space="preserve"> d’épaisseur a été assuré dans les règles de l’art sur le chantier de Bologne par un compacteur Hamm 3520 de 20 tonnes, avec articulation à trois points et cylindre lisse à vibration.</w:t>
      </w:r>
    </w:p>
    <w:p w:rsidR="00D44D94" w:rsidRPr="00AF6AC3" w:rsidRDefault="00D44D94" w:rsidP="006A16CC">
      <w:pPr>
        <w:pStyle w:val="Text"/>
        <w:spacing w:line="276" w:lineRule="auto"/>
      </w:pPr>
    </w:p>
    <w:p w:rsidR="00D44D94" w:rsidRPr="00AF6AC3" w:rsidRDefault="00D44D94" w:rsidP="006A16CC">
      <w:pPr>
        <w:pStyle w:val="Text"/>
        <w:spacing w:line="276" w:lineRule="auto"/>
        <w:rPr>
          <w:b/>
        </w:rPr>
      </w:pPr>
      <w:r w:rsidRPr="00AF6AC3">
        <w:rPr>
          <w:b/>
        </w:rPr>
        <w:t xml:space="preserve">Pose d’enrobé de qualité premium par le </w:t>
      </w:r>
      <w:proofErr w:type="spellStart"/>
      <w:r w:rsidRPr="00AF6AC3">
        <w:rPr>
          <w:b/>
        </w:rPr>
        <w:t>Vögele</w:t>
      </w:r>
      <w:proofErr w:type="spellEnd"/>
      <w:r w:rsidRPr="00AF6AC3">
        <w:rPr>
          <w:b/>
        </w:rPr>
        <w:t xml:space="preserve"> SUPER 1803-3</w:t>
      </w:r>
    </w:p>
    <w:p w:rsidR="00D44D94" w:rsidRPr="00AF6AC3" w:rsidRDefault="00D44D94" w:rsidP="006A16CC">
      <w:pPr>
        <w:pStyle w:val="Text"/>
        <w:spacing w:line="276" w:lineRule="auto"/>
      </w:pPr>
      <w:r w:rsidRPr="00AF6AC3">
        <w:t xml:space="preserve">Enfin, ce fut au finisseur de routes SUPER 1803-3 de </w:t>
      </w:r>
      <w:proofErr w:type="spellStart"/>
      <w:r w:rsidRPr="00AF6AC3">
        <w:t>Vögele</w:t>
      </w:r>
      <w:proofErr w:type="spellEnd"/>
      <w:r w:rsidRPr="00AF6AC3">
        <w:t xml:space="preserve"> d’entrer en jeu pour poser la nouvelle structure en enrobé, composée d’une couche de base de </w:t>
      </w:r>
      <w:smartTag w:uri="urn:schemas-microsoft-com:office:smarttags" w:element="metricconverter">
        <w:smartTagPr>
          <w:attr w:name="ProductID" w:val="200 km"/>
        </w:smartTagPr>
        <w:r w:rsidRPr="00AF6AC3">
          <w:t>10 cm</w:t>
        </w:r>
      </w:smartTag>
      <w:r w:rsidRPr="00AF6AC3">
        <w:t xml:space="preserve"> d’épaisseur, d’une couche de liaison de </w:t>
      </w:r>
      <w:smartTag w:uri="urn:schemas-microsoft-com:office:smarttags" w:element="metricconverter">
        <w:smartTagPr>
          <w:attr w:name="ProductID" w:val="200 km"/>
        </w:smartTagPr>
        <w:r w:rsidRPr="00AF6AC3">
          <w:t>6 cm</w:t>
        </w:r>
      </w:smartTag>
      <w:r w:rsidRPr="00AF6AC3">
        <w:t xml:space="preserve"> et d’une couche de roulement de </w:t>
      </w:r>
      <w:smartTag w:uri="urn:schemas-microsoft-com:office:smarttags" w:element="metricconverter">
        <w:smartTagPr>
          <w:attr w:name="ProductID" w:val="200 km"/>
        </w:smartTagPr>
        <w:r w:rsidRPr="00AF6AC3">
          <w:t>4 cm</w:t>
        </w:r>
      </w:smartTag>
      <w:r w:rsidRPr="00AF6AC3">
        <w:t xml:space="preserve">. Pour assurer une plus grande longévité de la couche de roulement, et garantir une </w:t>
      </w:r>
      <w:r>
        <w:t>bonne</w:t>
      </w:r>
      <w:r w:rsidRPr="00AF6AC3">
        <w:t xml:space="preserve"> adhérence sur la nouvelle voie de circulation même </w:t>
      </w:r>
      <w:r>
        <w:t>par mauvais temps</w:t>
      </w:r>
      <w:r w:rsidRPr="00AF6AC3">
        <w:t xml:space="preserve">, la couche de roulement a été posée en enrobé </w:t>
      </w:r>
      <w:proofErr w:type="spellStart"/>
      <w:r w:rsidRPr="00AF6AC3">
        <w:t>Splittmastix</w:t>
      </w:r>
      <w:proofErr w:type="spellEnd"/>
      <w:r w:rsidRPr="00AF6AC3">
        <w:t xml:space="preserve">. En effet, cet enrobé est non seulement plus résistant, mais il assure également un écoulement optimal de l’eau à la surface grâce à sa structure granulaire ouverte. </w:t>
      </w:r>
    </w:p>
    <w:p w:rsidR="00D44D94" w:rsidRPr="00AF6AC3" w:rsidRDefault="00D44D94" w:rsidP="006A16CC">
      <w:pPr>
        <w:pStyle w:val="Text"/>
        <w:spacing w:line="276" w:lineRule="auto"/>
      </w:pPr>
    </w:p>
    <w:p w:rsidR="00D44D94" w:rsidRPr="00AF6AC3" w:rsidRDefault="00D44D94" w:rsidP="006A16CC">
      <w:pPr>
        <w:pStyle w:val="Text"/>
        <w:spacing w:line="276" w:lineRule="auto"/>
      </w:pPr>
      <w:r w:rsidRPr="00AF6AC3">
        <w:t xml:space="preserve">Pour </w:t>
      </w:r>
      <w:r>
        <w:t>effectuer la</w:t>
      </w:r>
      <w:r w:rsidRPr="00AF6AC3">
        <w:t xml:space="preserve"> pose selon le profil et l’épaisseur voulu</w:t>
      </w:r>
      <w:r>
        <w:t>s</w:t>
      </w:r>
      <w:r w:rsidRPr="00AF6AC3">
        <w:t>, le SUPER 1803-</w:t>
      </w:r>
      <w:smartTag w:uri="urn:schemas-microsoft-com:office:smarttags" w:element="metricconverter">
        <w:smartTagPr>
          <w:attr w:name="ProductID" w:val="200 km"/>
        </w:smartTagPr>
        <w:r w:rsidRPr="00AF6AC3">
          <w:t>3 a</w:t>
        </w:r>
      </w:smartTag>
      <w:r w:rsidRPr="00AF6AC3">
        <w:t xml:space="preserve"> été de nouveau assisté par </w:t>
      </w:r>
      <w:proofErr w:type="spellStart"/>
      <w:r w:rsidRPr="00AF6AC3">
        <w:t>Niveltronic</w:t>
      </w:r>
      <w:proofErr w:type="spellEnd"/>
      <w:r w:rsidRPr="00AF6AC3">
        <w:t xml:space="preserve"> Plus</w:t>
      </w:r>
      <w:r w:rsidRPr="00AF6AC3">
        <w:rPr>
          <w:vertAlign w:val="superscript"/>
        </w:rPr>
        <w:t>®</w:t>
      </w:r>
      <w:r w:rsidRPr="00AF6AC3">
        <w:t xml:space="preserve">, système de nivellement automatique développé par </w:t>
      </w:r>
      <w:proofErr w:type="spellStart"/>
      <w:r w:rsidRPr="00AF6AC3">
        <w:t>Vögele</w:t>
      </w:r>
      <w:proofErr w:type="spellEnd"/>
      <w:r w:rsidRPr="00AF6AC3">
        <w:t xml:space="preserve">, </w:t>
      </w:r>
      <w:r>
        <w:t>qui représente la</w:t>
      </w:r>
      <w:r w:rsidRPr="00AF6AC3">
        <w:t xml:space="preserve"> solution idéale en termes de simplicité d’utilisation, de qualité et de fiabilité pour tous travaux de nivellement. Parfaitement adapté à la technique de la machine, </w:t>
      </w:r>
      <w:proofErr w:type="spellStart"/>
      <w:r w:rsidRPr="00AF6AC3">
        <w:t>Niveltronic</w:t>
      </w:r>
      <w:proofErr w:type="spellEnd"/>
      <w:r w:rsidRPr="00AF6AC3">
        <w:t xml:space="preserve"> Plus</w:t>
      </w:r>
      <w:r w:rsidRPr="00AF6AC3">
        <w:rPr>
          <w:vertAlign w:val="superscript"/>
        </w:rPr>
        <w:t>®</w:t>
      </w:r>
      <w:r w:rsidRPr="00AF6AC3">
        <w:t xml:space="preserve"> permet, sur la base de références données, d’obtenir d’excellents résultats de pose dont la qualité est encore améliorée en </w:t>
      </w:r>
      <w:r>
        <w:t>y ajoutant</w:t>
      </w:r>
      <w:r w:rsidRPr="00AF6AC3">
        <w:t xml:space="preserve"> le </w:t>
      </w:r>
      <w:proofErr w:type="spellStart"/>
      <w:r w:rsidRPr="00AF6AC3">
        <w:t>Big</w:t>
      </w:r>
      <w:proofErr w:type="spellEnd"/>
      <w:r w:rsidRPr="00AF6AC3">
        <w:t xml:space="preserve"> </w:t>
      </w:r>
      <w:proofErr w:type="spellStart"/>
      <w:r w:rsidRPr="00AF6AC3">
        <w:t>MultiPlex</w:t>
      </w:r>
      <w:proofErr w:type="spellEnd"/>
      <w:r w:rsidRPr="00AF6AC3">
        <w:t xml:space="preserve"> Ski, également mis en œuvre par </w:t>
      </w:r>
      <w:proofErr w:type="spellStart"/>
      <w:r w:rsidRPr="00AF6AC3">
        <w:t>Bindi</w:t>
      </w:r>
      <w:proofErr w:type="spellEnd"/>
      <w:r w:rsidRPr="00AF6AC3">
        <w:t xml:space="preserve">. L’alignement de trois palpeurs de hauteur à ultrasons permet au </w:t>
      </w:r>
      <w:proofErr w:type="spellStart"/>
      <w:r w:rsidRPr="00AF6AC3">
        <w:t>Big</w:t>
      </w:r>
      <w:proofErr w:type="spellEnd"/>
      <w:r w:rsidRPr="00AF6AC3">
        <w:t xml:space="preserve"> </w:t>
      </w:r>
      <w:proofErr w:type="spellStart"/>
      <w:r w:rsidRPr="00AF6AC3">
        <w:t>MultiPlex</w:t>
      </w:r>
      <w:proofErr w:type="spellEnd"/>
      <w:r w:rsidRPr="00AF6AC3">
        <w:t xml:space="preserve"> Ski </w:t>
      </w:r>
      <w:r>
        <w:t>de palper</w:t>
      </w:r>
      <w:r w:rsidRPr="00AF6AC3">
        <w:t xml:space="preserve"> simultanément une référence en plusieurs points distants les uns des autres. À partir de ces mesures, le système </w:t>
      </w:r>
      <w:proofErr w:type="spellStart"/>
      <w:r w:rsidRPr="00AF6AC3">
        <w:t>Vögele</w:t>
      </w:r>
      <w:proofErr w:type="spellEnd"/>
      <w:r w:rsidRPr="00AF6AC3">
        <w:t xml:space="preserve"> </w:t>
      </w:r>
      <w:proofErr w:type="spellStart"/>
      <w:r w:rsidRPr="00AF6AC3">
        <w:t>Niveltronic</w:t>
      </w:r>
      <w:proofErr w:type="spellEnd"/>
      <w:r w:rsidRPr="00AF6AC3">
        <w:t xml:space="preserve"> Plus</w:t>
      </w:r>
      <w:r w:rsidRPr="00AF6AC3">
        <w:rPr>
          <w:vertAlign w:val="superscript"/>
        </w:rPr>
        <w:t>®</w:t>
      </w:r>
      <w:r w:rsidRPr="00AF6AC3">
        <w:t xml:space="preserve"> peut calculer un niveau de référence</w:t>
      </w:r>
      <w:r w:rsidRPr="00D676FD">
        <w:t xml:space="preserve"> </w:t>
      </w:r>
      <w:r w:rsidRPr="00AF6AC3">
        <w:t xml:space="preserve">virtuel. </w:t>
      </w:r>
      <w:r>
        <w:t>C’est un</w:t>
      </w:r>
      <w:r w:rsidRPr="00AF6AC3">
        <w:t xml:space="preserve"> avantage décisif notamment sur </w:t>
      </w:r>
      <w:r>
        <w:t>d</w:t>
      </w:r>
      <w:r w:rsidRPr="00AF6AC3">
        <w:t xml:space="preserve">es surfaces telles que </w:t>
      </w:r>
      <w:r>
        <w:t>cette</w:t>
      </w:r>
      <w:r w:rsidRPr="00AF6AC3">
        <w:t xml:space="preserve"> voie de circulation de </w:t>
      </w:r>
      <w:smartTag w:uri="urn:schemas-microsoft-com:office:smarttags" w:element="metricconverter">
        <w:smartTagPr>
          <w:attr w:name="ProductID" w:val="200 km"/>
        </w:smartTagPr>
        <w:r w:rsidRPr="00AF6AC3">
          <w:t>23 m</w:t>
        </w:r>
      </w:smartTag>
      <w:r w:rsidRPr="00AF6AC3">
        <w:t xml:space="preserve"> de large, car le système peut détecter et compenser sans aucun problème les déformations en longueur du terrain telles que les ondulations.</w:t>
      </w:r>
    </w:p>
    <w:p w:rsidR="00D44D94" w:rsidRPr="00AF6AC3" w:rsidRDefault="00D44D94" w:rsidP="006A16CC">
      <w:pPr>
        <w:pStyle w:val="Text"/>
        <w:spacing w:line="276" w:lineRule="auto"/>
      </w:pPr>
    </w:p>
    <w:p w:rsidR="00D44D94" w:rsidRPr="00AF6AC3" w:rsidRDefault="00D44D94" w:rsidP="006A16CC">
      <w:pPr>
        <w:pStyle w:val="Text"/>
        <w:spacing w:line="276" w:lineRule="auto"/>
        <w:rPr>
          <w:b/>
        </w:rPr>
      </w:pPr>
      <w:r w:rsidRPr="00AF6AC3">
        <w:rPr>
          <w:b/>
        </w:rPr>
        <w:t xml:space="preserve">Touche finale avec les Hamm DV 90 et GRW 18 </w:t>
      </w:r>
    </w:p>
    <w:p w:rsidR="00D44D94" w:rsidRPr="00AF6AC3" w:rsidRDefault="00D44D94" w:rsidP="006A16CC">
      <w:pPr>
        <w:pStyle w:val="Text"/>
        <w:spacing w:line="276" w:lineRule="auto"/>
      </w:pPr>
      <w:r w:rsidRPr="00AF6AC3">
        <w:t xml:space="preserve">Les compacteurs d’enrobé Hamm ont assuré les travaux de finition. Là aussi, l’entrepreneur </w:t>
      </w:r>
      <w:proofErr w:type="spellStart"/>
      <w:r w:rsidRPr="00AF6AC3">
        <w:t>Bindi</w:t>
      </w:r>
      <w:proofErr w:type="spellEnd"/>
      <w:r w:rsidRPr="00AF6AC3">
        <w:t xml:space="preserve"> a pu compter sur les technologies leader du Wirtgen Group. C’est le compacteur tandem à traverse pivotante DV 90 et son système éprouvé </w:t>
      </w:r>
      <w:proofErr w:type="spellStart"/>
      <w:r w:rsidRPr="00AF6AC3">
        <w:t>Hammtronic</w:t>
      </w:r>
      <w:proofErr w:type="spellEnd"/>
      <w:r w:rsidRPr="00AF6AC3">
        <w:t xml:space="preserve"> de gestion électronique de la machine qui </w:t>
      </w:r>
      <w:r>
        <w:t>est intervenu en premier</w:t>
      </w:r>
      <w:r w:rsidRPr="00AF6AC3">
        <w:t>. Cet engin a su convaincre par son rendement surfacique et sa puissance de compactage élevés. Ensuite, comme c’est généralement le cas,</w:t>
      </w:r>
      <w:r>
        <w:t xml:space="preserve"> c’est </w:t>
      </w:r>
      <w:r w:rsidRPr="00AF6AC3">
        <w:t xml:space="preserve">un compacteur sur pneus </w:t>
      </w:r>
      <w:r>
        <w:t xml:space="preserve">qui </w:t>
      </w:r>
      <w:r w:rsidRPr="00AF6AC3">
        <w:t xml:space="preserve">a pris la relève afin de donner la dernière touche finale. Les compacteurs sur pneus tels que le GRW 18 de Hamm jouent un rôle central lors du compactage final, car l’effet de pétrissage et de foulage des pneus en caoutchouc assure un parfait </w:t>
      </w:r>
      <w:r>
        <w:t>scellement</w:t>
      </w:r>
      <w:r w:rsidRPr="00AF6AC3">
        <w:t xml:space="preserve"> de la surface. Ce qui fut également le cas sur le Guglielmo Marconi Airport, dont la voie de circulation est désormais armée de manière optimale pour faire face aux charges dynamiques élevées dues aux passages des avions.</w:t>
      </w:r>
    </w:p>
    <w:p w:rsidR="00D44D94" w:rsidRPr="00AF6AC3" w:rsidRDefault="00D44D94" w:rsidP="006A16CC">
      <w:pPr>
        <w:pStyle w:val="Text"/>
        <w:spacing w:line="276" w:lineRule="auto"/>
      </w:pPr>
    </w:p>
    <w:p w:rsidR="008D2493" w:rsidRDefault="008D2493">
      <w:pPr>
        <w:rPr>
          <w:b/>
          <w:sz w:val="22"/>
        </w:rPr>
      </w:pPr>
      <w:r>
        <w:rPr>
          <w:b/>
        </w:rPr>
        <w:br w:type="page"/>
      </w:r>
    </w:p>
    <w:p w:rsidR="00D44D94" w:rsidRPr="00AF6AC3" w:rsidRDefault="00D44D94" w:rsidP="006A16CC">
      <w:pPr>
        <w:pStyle w:val="Text"/>
        <w:spacing w:line="276" w:lineRule="auto"/>
        <w:rPr>
          <w:b/>
        </w:rPr>
      </w:pPr>
      <w:bookmarkStart w:id="0" w:name="_GoBack"/>
      <w:bookmarkEnd w:id="0"/>
      <w:r>
        <w:rPr>
          <w:b/>
        </w:rPr>
        <w:lastRenderedPageBreak/>
        <w:t xml:space="preserve">Les </w:t>
      </w:r>
      <w:r w:rsidRPr="00AF6AC3">
        <w:rPr>
          <w:b/>
        </w:rPr>
        <w:t xml:space="preserve">strictes exigences </w:t>
      </w:r>
      <w:r>
        <w:rPr>
          <w:b/>
        </w:rPr>
        <w:t>du projet sont remplies</w:t>
      </w:r>
    </w:p>
    <w:p w:rsidR="00D44D94" w:rsidRPr="00AF6AC3" w:rsidRDefault="00D44D94" w:rsidP="006A16CC">
      <w:pPr>
        <w:pStyle w:val="Text"/>
        <w:spacing w:line="276" w:lineRule="auto"/>
      </w:pPr>
      <w:r w:rsidRPr="00AF6AC3">
        <w:t xml:space="preserve">Elena </w:t>
      </w:r>
      <w:proofErr w:type="spellStart"/>
      <w:r w:rsidRPr="00AF6AC3">
        <w:t>Sturlini</w:t>
      </w:r>
      <w:proofErr w:type="spellEnd"/>
      <w:r w:rsidRPr="00AF6AC3">
        <w:t xml:space="preserve">, directrice technique chez </w:t>
      </w:r>
      <w:proofErr w:type="spellStart"/>
      <w:r w:rsidRPr="00AF6AC3">
        <w:t>Bindi</w:t>
      </w:r>
      <w:proofErr w:type="spellEnd"/>
      <w:r w:rsidRPr="00AF6AC3">
        <w:t xml:space="preserve"> </w:t>
      </w:r>
      <w:proofErr w:type="spellStart"/>
      <w:r w:rsidRPr="00AF6AC3">
        <w:t>S.p.A</w:t>
      </w:r>
      <w:proofErr w:type="spellEnd"/>
      <w:r w:rsidRPr="00AF6AC3">
        <w:t xml:space="preserve">, s’est elle aussi montrée satisfaite du résultat, car les travaux de réfection se sont déroulés </w:t>
      </w:r>
      <w:r>
        <w:t>sans interrompre l’exploitation</w:t>
      </w:r>
      <w:r w:rsidRPr="00AF6AC3">
        <w:t xml:space="preserve"> </w:t>
      </w:r>
      <w:r>
        <w:t xml:space="preserve">de </w:t>
      </w:r>
      <w:r w:rsidRPr="00AF6AC3">
        <w:t>l’aéroport</w:t>
      </w:r>
      <w:r>
        <w:t xml:space="preserve">, ce qui constituait </w:t>
      </w:r>
      <w:r w:rsidRPr="00AF6AC3">
        <w:t xml:space="preserve">un défi </w:t>
      </w:r>
      <w:r>
        <w:t>venant s’ajouter</w:t>
      </w:r>
      <w:r w:rsidRPr="00AF6AC3">
        <w:t xml:space="preserve"> aux exigences déjà strictes du projet, comme l’explique Elena </w:t>
      </w:r>
      <w:proofErr w:type="spellStart"/>
      <w:r w:rsidRPr="00AF6AC3">
        <w:t>Sturlini</w:t>
      </w:r>
      <w:proofErr w:type="spellEnd"/>
      <w:r w:rsidRPr="00AF6AC3">
        <w:t xml:space="preserve"> : « Outre la tenue des délais, il fallait également assurer la qualité et la longévité des travaux, </w:t>
      </w:r>
      <w:r>
        <w:t>tout en</w:t>
      </w:r>
      <w:r w:rsidRPr="00AF6AC3">
        <w:t xml:space="preserve"> gér</w:t>
      </w:r>
      <w:r>
        <w:t>ant</w:t>
      </w:r>
      <w:r w:rsidRPr="00AF6AC3">
        <w:t xml:space="preserve"> tous les défis logistiques liés au chantier ». </w:t>
      </w:r>
      <w:r>
        <w:t xml:space="preserve">Il était donc particulièrement rassurant d’avoir un partenaire fort à nos côtés. </w:t>
      </w:r>
      <w:r w:rsidRPr="00AF6AC3">
        <w:t>« Les technologies fiables du Wirtgen Group ont incontestablement créé les conditions optimales qui nous ont permis de remplir les exigences de l’</w:t>
      </w:r>
      <w:r>
        <w:t>administration en charge</w:t>
      </w:r>
      <w:r w:rsidRPr="00AF6AC3">
        <w:t xml:space="preserve"> de l’aéroport avec un maximum de productivité », explique la directrice technique.</w:t>
      </w:r>
    </w:p>
    <w:p w:rsidR="00D44D94" w:rsidRPr="00AF6AC3" w:rsidRDefault="00D44D94" w:rsidP="0030316D">
      <w:pPr>
        <w:pStyle w:val="Text"/>
      </w:pPr>
      <w:r w:rsidRPr="00AF6AC3">
        <w:br w:type="page"/>
      </w:r>
    </w:p>
    <w:p w:rsidR="00D44D94" w:rsidRPr="00AF6AC3" w:rsidRDefault="00D44D94" w:rsidP="0030316D">
      <w:pPr>
        <w:pStyle w:val="HeadlineFotos"/>
      </w:pPr>
      <w:r w:rsidRPr="00AF6AC3">
        <w:rPr>
          <w:caps w:val="0"/>
          <w:szCs w:val="22"/>
        </w:rPr>
        <w:lastRenderedPageBreak/>
        <w:t>Photos </w:t>
      </w:r>
      <w:r w:rsidRPr="00AF6AC3">
        <w:t>:</w:t>
      </w:r>
    </w:p>
    <w:tbl>
      <w:tblPr>
        <w:tblW w:w="0" w:type="auto"/>
        <w:tblCellSpacing w:w="71" w:type="dxa"/>
        <w:tblCellMar>
          <w:left w:w="0" w:type="dxa"/>
          <w:right w:w="0" w:type="dxa"/>
        </w:tblCellMar>
        <w:tblLook w:val="00A0" w:firstRow="1" w:lastRow="0" w:firstColumn="1" w:lastColumn="0" w:noHBand="0" w:noVBand="0"/>
      </w:tblPr>
      <w:tblGrid>
        <w:gridCol w:w="4971"/>
        <w:gridCol w:w="4837"/>
      </w:tblGrid>
      <w:tr w:rsidR="00D44D94" w:rsidRPr="00AF6AC3" w:rsidTr="00197D8A">
        <w:trPr>
          <w:tblCellSpacing w:w="71" w:type="dxa"/>
        </w:trPr>
        <w:tc>
          <w:tcPr>
            <w:tcW w:w="4832" w:type="dxa"/>
            <w:tcBorders>
              <w:right w:val="single" w:sz="4" w:space="0" w:color="auto"/>
            </w:tcBorders>
          </w:tcPr>
          <w:p w:rsidR="00D44D94" w:rsidRPr="00AF6AC3" w:rsidRDefault="00072FBB" w:rsidP="00D166AC">
            <w:pPr>
              <w:rPr>
                <w:szCs w:val="20"/>
              </w:rPr>
            </w:pPr>
            <w:r>
              <w:rPr>
                <w:b/>
                <w:noProof/>
                <w:szCs w:val="20"/>
                <w:lang w:val="de-DE" w:eastAsia="de-DE"/>
              </w:rPr>
              <w:drawing>
                <wp:inline distT="0" distB="0" distL="0" distR="0">
                  <wp:extent cx="2458720" cy="1828800"/>
                  <wp:effectExtent l="19050" t="0" r="0" b="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8"/>
                          <a:srcRect/>
                          <a:stretch>
                            <a:fillRect/>
                          </a:stretch>
                        </pic:blipFill>
                        <pic:spPr bwMode="auto">
                          <a:xfrm>
                            <a:off x="0" y="0"/>
                            <a:ext cx="2458720" cy="1828800"/>
                          </a:xfrm>
                          <a:prstGeom prst="rect">
                            <a:avLst/>
                          </a:prstGeom>
                          <a:noFill/>
                          <a:ln w="9525">
                            <a:noFill/>
                            <a:miter lim="800000"/>
                            <a:headEnd/>
                            <a:tailEnd/>
                          </a:ln>
                        </pic:spPr>
                      </pic:pic>
                    </a:graphicData>
                  </a:graphic>
                </wp:inline>
              </w:drawing>
            </w:r>
          </w:p>
        </w:tc>
        <w:tc>
          <w:tcPr>
            <w:tcW w:w="4832" w:type="dxa"/>
          </w:tcPr>
          <w:p w:rsidR="00D44D94" w:rsidRPr="00AF6AC3" w:rsidRDefault="00D44D94" w:rsidP="0030316D">
            <w:pPr>
              <w:pStyle w:val="berschrift3"/>
            </w:pPr>
            <w:r w:rsidRPr="00AF6AC3">
              <w:t>B_Group_09003_HI</w:t>
            </w:r>
          </w:p>
          <w:p w:rsidR="00D44D94" w:rsidRPr="00AF6AC3" w:rsidRDefault="00D44D94" w:rsidP="00197D8A">
            <w:pPr>
              <w:pStyle w:val="Text"/>
              <w:jc w:val="left"/>
              <w:rPr>
                <w:sz w:val="20"/>
                <w:szCs w:val="20"/>
              </w:rPr>
            </w:pPr>
            <w:r w:rsidRPr="00AF6AC3">
              <w:rPr>
                <w:sz w:val="20"/>
                <w:szCs w:val="20"/>
              </w:rPr>
              <w:t xml:space="preserve">Situé à </w:t>
            </w:r>
            <w:r>
              <w:rPr>
                <w:sz w:val="20"/>
                <w:szCs w:val="20"/>
              </w:rPr>
              <w:t xml:space="preserve">env. </w:t>
            </w:r>
            <w:smartTag w:uri="urn:schemas-microsoft-com:office:smarttags" w:element="metricconverter">
              <w:smartTagPr>
                <w:attr w:name="ProductID" w:val="200 km"/>
              </w:smartTagPr>
              <w:r w:rsidRPr="00AF6AC3">
                <w:rPr>
                  <w:sz w:val="20"/>
                  <w:szCs w:val="20"/>
                </w:rPr>
                <w:t>200 km</w:t>
              </w:r>
            </w:smartTag>
            <w:r w:rsidRPr="00AF6AC3">
              <w:rPr>
                <w:sz w:val="20"/>
                <w:szCs w:val="20"/>
              </w:rPr>
              <w:t xml:space="preserve"> au Sud de Milan, le Guglielmo-Marconi Airport est actuellement le théâtre de vastes travaux de réfection. Le fraisage des couches de revêtement a été réalisé par la Wirtgen W 200. Légère et simple à manier, cette grande fraiseuse compte parmi les plus polyvalentes </w:t>
            </w:r>
            <w:r>
              <w:rPr>
                <w:sz w:val="20"/>
                <w:szCs w:val="20"/>
              </w:rPr>
              <w:t>dans le domaine</w:t>
            </w:r>
            <w:r w:rsidRPr="00AF6AC3">
              <w:rPr>
                <w:sz w:val="20"/>
                <w:szCs w:val="20"/>
              </w:rPr>
              <w:t xml:space="preserve"> de la réfection routière et convainc par un maximum de rendement et de rentabilité.</w:t>
            </w:r>
          </w:p>
        </w:tc>
      </w:tr>
    </w:tbl>
    <w:p w:rsidR="00D44D94" w:rsidRPr="00AF6AC3" w:rsidRDefault="00D44D94"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71"/>
        <w:gridCol w:w="4837"/>
      </w:tblGrid>
      <w:tr w:rsidR="00D44D94" w:rsidRPr="00AF6AC3" w:rsidTr="00197D8A">
        <w:trPr>
          <w:tblCellSpacing w:w="71" w:type="dxa"/>
        </w:trPr>
        <w:tc>
          <w:tcPr>
            <w:tcW w:w="4832" w:type="dxa"/>
            <w:tcBorders>
              <w:right w:val="single" w:sz="4" w:space="0" w:color="auto"/>
            </w:tcBorders>
          </w:tcPr>
          <w:p w:rsidR="00D44D94" w:rsidRPr="00AF6AC3" w:rsidRDefault="00072FBB" w:rsidP="00D25CC6">
            <w:pPr>
              <w:rPr>
                <w:szCs w:val="20"/>
              </w:rPr>
            </w:pPr>
            <w:r>
              <w:rPr>
                <w:b/>
                <w:noProof/>
                <w:szCs w:val="20"/>
                <w:lang w:val="de-DE" w:eastAsia="de-DE"/>
              </w:rPr>
              <w:drawing>
                <wp:inline distT="0" distB="0" distL="0" distR="0">
                  <wp:extent cx="2458720" cy="1828800"/>
                  <wp:effectExtent l="19050" t="0" r="0" b="0"/>
                  <wp:docPr id="10"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458720" cy="1828800"/>
                          </a:xfrm>
                          <a:prstGeom prst="rect">
                            <a:avLst/>
                          </a:prstGeom>
                          <a:noFill/>
                          <a:ln w="9525">
                            <a:noFill/>
                            <a:miter lim="800000"/>
                            <a:headEnd/>
                            <a:tailEnd/>
                          </a:ln>
                        </pic:spPr>
                      </pic:pic>
                    </a:graphicData>
                  </a:graphic>
                </wp:inline>
              </w:drawing>
            </w:r>
          </w:p>
        </w:tc>
        <w:tc>
          <w:tcPr>
            <w:tcW w:w="4832" w:type="dxa"/>
          </w:tcPr>
          <w:p w:rsidR="00D44D94" w:rsidRPr="00AF6AC3" w:rsidRDefault="00D44D94" w:rsidP="00D25CC6">
            <w:pPr>
              <w:pStyle w:val="berschrift3"/>
            </w:pPr>
            <w:r w:rsidRPr="00AF6AC3">
              <w:t>B_Group_08994_HI</w:t>
            </w:r>
          </w:p>
          <w:p w:rsidR="00D44D94" w:rsidRPr="00AF6AC3" w:rsidRDefault="00D44D94" w:rsidP="00197D8A">
            <w:pPr>
              <w:pStyle w:val="Text"/>
              <w:jc w:val="left"/>
              <w:rPr>
                <w:sz w:val="20"/>
                <w:szCs w:val="20"/>
              </w:rPr>
            </w:pPr>
            <w:r w:rsidRPr="00AF6AC3">
              <w:rPr>
                <w:sz w:val="20"/>
                <w:szCs w:val="20"/>
              </w:rPr>
              <w:t>Parmi les fonctionnalités pratiques de la Wirtgen W 200 figure notamment le système PTS (</w:t>
            </w:r>
            <w:proofErr w:type="spellStart"/>
            <w:r w:rsidRPr="00AF6AC3">
              <w:rPr>
                <w:sz w:val="20"/>
                <w:szCs w:val="20"/>
              </w:rPr>
              <w:t>Parallel</w:t>
            </w:r>
            <w:proofErr w:type="spellEnd"/>
            <w:r w:rsidRPr="00AF6AC3">
              <w:rPr>
                <w:sz w:val="20"/>
                <w:szCs w:val="20"/>
              </w:rPr>
              <w:t xml:space="preserve"> To Surface), développé en interne, qui </w:t>
            </w:r>
            <w:r>
              <w:rPr>
                <w:sz w:val="20"/>
                <w:szCs w:val="20"/>
              </w:rPr>
              <w:t>assure</w:t>
            </w:r>
            <w:r w:rsidRPr="00AF6AC3">
              <w:rPr>
                <w:sz w:val="20"/>
                <w:szCs w:val="20"/>
              </w:rPr>
              <w:t xml:space="preserve"> automatiquement le positionnement dynamique de la machine parallèlement à la surface de la chaussée : les trains de chenilles avant et arrière s’abaissent ensemble en parallèle. De plus, l’essieu quadruple oscillant, partie intégrante du système PTS, compense rapidement les irrégularités à gauche et à droite de la machine.</w:t>
            </w:r>
          </w:p>
        </w:tc>
      </w:tr>
    </w:tbl>
    <w:p w:rsidR="00D44D94" w:rsidRPr="00AF6AC3" w:rsidRDefault="00D44D94"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66"/>
        <w:gridCol w:w="4842"/>
      </w:tblGrid>
      <w:tr w:rsidR="00D44D94" w:rsidRPr="00AF6AC3" w:rsidTr="00197D8A">
        <w:trPr>
          <w:tblCellSpacing w:w="71" w:type="dxa"/>
        </w:trPr>
        <w:tc>
          <w:tcPr>
            <w:tcW w:w="4832" w:type="dxa"/>
            <w:tcBorders>
              <w:right w:val="single" w:sz="4" w:space="0" w:color="auto"/>
            </w:tcBorders>
          </w:tcPr>
          <w:p w:rsidR="00D44D94" w:rsidRPr="00AF6AC3" w:rsidRDefault="00072FBB" w:rsidP="00D25CC6">
            <w:pPr>
              <w:rPr>
                <w:szCs w:val="20"/>
              </w:rPr>
            </w:pPr>
            <w:r>
              <w:rPr>
                <w:b/>
                <w:noProof/>
                <w:szCs w:val="20"/>
                <w:lang w:val="de-DE" w:eastAsia="de-DE"/>
              </w:rPr>
              <w:drawing>
                <wp:inline distT="0" distB="0" distL="0" distR="0">
                  <wp:extent cx="2397760" cy="1828800"/>
                  <wp:effectExtent l="19050" t="0" r="254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397760" cy="1828800"/>
                          </a:xfrm>
                          <a:prstGeom prst="rect">
                            <a:avLst/>
                          </a:prstGeom>
                          <a:noFill/>
                          <a:ln w="9525">
                            <a:noFill/>
                            <a:miter lim="800000"/>
                            <a:headEnd/>
                            <a:tailEnd/>
                          </a:ln>
                        </pic:spPr>
                      </pic:pic>
                    </a:graphicData>
                  </a:graphic>
                </wp:inline>
              </w:drawing>
            </w:r>
          </w:p>
        </w:tc>
        <w:tc>
          <w:tcPr>
            <w:tcW w:w="4832" w:type="dxa"/>
          </w:tcPr>
          <w:p w:rsidR="00D44D94" w:rsidRPr="00AF6AC3" w:rsidRDefault="00D44D94" w:rsidP="00D25CC6">
            <w:pPr>
              <w:pStyle w:val="berschrift3"/>
            </w:pPr>
            <w:r w:rsidRPr="00AF6AC3">
              <w:t>B_Group_09061_HI</w:t>
            </w:r>
          </w:p>
          <w:p w:rsidR="00D44D94" w:rsidRPr="00AF6AC3" w:rsidRDefault="00D44D94" w:rsidP="00197D8A">
            <w:pPr>
              <w:pStyle w:val="Text"/>
              <w:jc w:val="left"/>
              <w:rPr>
                <w:sz w:val="20"/>
                <w:szCs w:val="20"/>
              </w:rPr>
            </w:pPr>
            <w:r w:rsidRPr="00AF6AC3">
              <w:rPr>
                <w:sz w:val="20"/>
                <w:szCs w:val="20"/>
              </w:rPr>
              <w:t>Le mélangeur mobile pour recyclage à froid KMA 220 de Wirtgen peut être transporté facilement et monté rapidement à proximité directe du chantier. Ce</w:t>
            </w:r>
            <w:r>
              <w:rPr>
                <w:sz w:val="20"/>
                <w:szCs w:val="20"/>
              </w:rPr>
              <w:t>la</w:t>
            </w:r>
            <w:r w:rsidRPr="00AF6AC3">
              <w:rPr>
                <w:sz w:val="20"/>
                <w:szCs w:val="20"/>
              </w:rPr>
              <w:t xml:space="preserve"> permet d’économiser </w:t>
            </w:r>
            <w:r>
              <w:rPr>
                <w:sz w:val="20"/>
                <w:szCs w:val="20"/>
              </w:rPr>
              <w:t>en</w:t>
            </w:r>
            <w:r w:rsidRPr="00AF6AC3">
              <w:rPr>
                <w:sz w:val="20"/>
                <w:szCs w:val="20"/>
              </w:rPr>
              <w:t xml:space="preserve"> temps et </w:t>
            </w:r>
            <w:r>
              <w:rPr>
                <w:sz w:val="20"/>
                <w:szCs w:val="20"/>
              </w:rPr>
              <w:t>en</w:t>
            </w:r>
            <w:r w:rsidRPr="00AF6AC3">
              <w:rPr>
                <w:sz w:val="20"/>
                <w:szCs w:val="20"/>
              </w:rPr>
              <w:t xml:space="preserve"> camions, tout en étant particulièrement respectueux de l’environnement. Un moteur diesel autonome le rend indépendant du réseau électrique public.</w:t>
            </w:r>
          </w:p>
        </w:tc>
      </w:tr>
    </w:tbl>
    <w:p w:rsidR="00D44D94" w:rsidRPr="00AF6AC3" w:rsidRDefault="00D44D94"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66"/>
        <w:gridCol w:w="4842"/>
      </w:tblGrid>
      <w:tr w:rsidR="00D44D94" w:rsidRPr="00AF6AC3" w:rsidTr="00197D8A">
        <w:trPr>
          <w:tblCellSpacing w:w="71" w:type="dxa"/>
        </w:trPr>
        <w:tc>
          <w:tcPr>
            <w:tcW w:w="4832" w:type="dxa"/>
            <w:tcBorders>
              <w:right w:val="single" w:sz="4" w:space="0" w:color="auto"/>
            </w:tcBorders>
          </w:tcPr>
          <w:p w:rsidR="00D44D94" w:rsidRPr="00AF6AC3" w:rsidRDefault="00072FBB" w:rsidP="00D25CC6">
            <w:pPr>
              <w:rPr>
                <w:szCs w:val="20"/>
              </w:rPr>
            </w:pPr>
            <w:r>
              <w:rPr>
                <w:b/>
                <w:noProof/>
                <w:szCs w:val="20"/>
                <w:lang w:val="de-DE" w:eastAsia="de-DE"/>
              </w:rPr>
              <w:lastRenderedPageBreak/>
              <w:drawing>
                <wp:inline distT="0" distB="0" distL="0" distR="0">
                  <wp:extent cx="2397760" cy="1798320"/>
                  <wp:effectExtent l="19050" t="0" r="2540" b="0"/>
                  <wp:docPr id="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397760" cy="1798320"/>
                          </a:xfrm>
                          <a:prstGeom prst="rect">
                            <a:avLst/>
                          </a:prstGeom>
                          <a:noFill/>
                          <a:ln w="9525">
                            <a:noFill/>
                            <a:miter lim="800000"/>
                            <a:headEnd/>
                            <a:tailEnd/>
                          </a:ln>
                        </pic:spPr>
                      </pic:pic>
                    </a:graphicData>
                  </a:graphic>
                </wp:inline>
              </w:drawing>
            </w:r>
          </w:p>
        </w:tc>
        <w:tc>
          <w:tcPr>
            <w:tcW w:w="4832" w:type="dxa"/>
          </w:tcPr>
          <w:p w:rsidR="00D44D94" w:rsidRPr="00AF6AC3" w:rsidRDefault="00D44D94" w:rsidP="00D25CC6">
            <w:pPr>
              <w:pStyle w:val="berschrift3"/>
            </w:pPr>
            <w:r w:rsidRPr="00AF6AC3">
              <w:t>B_Group_09006_HI</w:t>
            </w:r>
          </w:p>
          <w:p w:rsidR="00D44D94" w:rsidRPr="00AF6AC3" w:rsidRDefault="00D44D94" w:rsidP="00197D8A">
            <w:pPr>
              <w:pStyle w:val="Text"/>
              <w:jc w:val="left"/>
              <w:rPr>
                <w:sz w:val="20"/>
                <w:szCs w:val="20"/>
              </w:rPr>
            </w:pPr>
            <w:r w:rsidRPr="00AF6AC3">
              <w:rPr>
                <w:sz w:val="20"/>
                <w:szCs w:val="20"/>
              </w:rPr>
              <w:t xml:space="preserve">Une technique ultramoderne et </w:t>
            </w:r>
            <w:r>
              <w:rPr>
                <w:sz w:val="20"/>
                <w:szCs w:val="20"/>
              </w:rPr>
              <w:t>facile d’utilisation</w:t>
            </w:r>
            <w:r w:rsidRPr="00AF6AC3">
              <w:rPr>
                <w:sz w:val="20"/>
                <w:szCs w:val="20"/>
              </w:rPr>
              <w:t xml:space="preserve"> </w:t>
            </w:r>
            <w:r>
              <w:rPr>
                <w:sz w:val="20"/>
                <w:szCs w:val="20"/>
              </w:rPr>
              <w:t>constitue</w:t>
            </w:r>
            <w:r w:rsidRPr="00AF6AC3">
              <w:rPr>
                <w:sz w:val="20"/>
                <w:szCs w:val="20"/>
              </w:rPr>
              <w:t xml:space="preserve"> </w:t>
            </w:r>
            <w:r>
              <w:rPr>
                <w:sz w:val="20"/>
                <w:szCs w:val="20"/>
              </w:rPr>
              <w:t>le principe de</w:t>
            </w:r>
            <w:r w:rsidRPr="00AF6AC3">
              <w:rPr>
                <w:sz w:val="20"/>
                <w:szCs w:val="20"/>
              </w:rPr>
              <w:t xml:space="preserve"> base des finisseurs d’enrobé innovants, respectueux de l’environnement et économes de la nouvelle génération « Tiret 3 » de </w:t>
            </w:r>
            <w:proofErr w:type="spellStart"/>
            <w:r w:rsidRPr="00AF6AC3">
              <w:rPr>
                <w:sz w:val="20"/>
                <w:szCs w:val="20"/>
              </w:rPr>
              <w:t>Vögele</w:t>
            </w:r>
            <w:proofErr w:type="spellEnd"/>
            <w:r w:rsidRPr="00AF6AC3">
              <w:rPr>
                <w:sz w:val="20"/>
                <w:szCs w:val="20"/>
              </w:rPr>
              <w:t xml:space="preserve"> – ce qui </w:t>
            </w:r>
            <w:r>
              <w:rPr>
                <w:sz w:val="20"/>
                <w:szCs w:val="20"/>
              </w:rPr>
              <w:t xml:space="preserve">s’applique </w:t>
            </w:r>
            <w:r w:rsidRPr="00AF6AC3">
              <w:rPr>
                <w:sz w:val="20"/>
                <w:szCs w:val="20"/>
              </w:rPr>
              <w:t xml:space="preserve">également </w:t>
            </w:r>
            <w:r>
              <w:rPr>
                <w:sz w:val="20"/>
                <w:szCs w:val="20"/>
              </w:rPr>
              <w:t>au</w:t>
            </w:r>
            <w:r w:rsidRPr="00AF6AC3">
              <w:rPr>
                <w:sz w:val="20"/>
                <w:szCs w:val="20"/>
              </w:rPr>
              <w:t xml:space="preserve"> finisseur sur roues SUPER 1803-3 mis en œuvre à Bologne.</w:t>
            </w:r>
          </w:p>
        </w:tc>
      </w:tr>
    </w:tbl>
    <w:p w:rsidR="00D44D94" w:rsidRPr="00AF6AC3" w:rsidRDefault="00D44D94"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66"/>
        <w:gridCol w:w="4842"/>
      </w:tblGrid>
      <w:tr w:rsidR="00D44D94" w:rsidRPr="00AF6AC3" w:rsidTr="00197D8A">
        <w:trPr>
          <w:tblCellSpacing w:w="71" w:type="dxa"/>
        </w:trPr>
        <w:tc>
          <w:tcPr>
            <w:tcW w:w="4832" w:type="dxa"/>
            <w:tcBorders>
              <w:right w:val="single" w:sz="4" w:space="0" w:color="auto"/>
            </w:tcBorders>
          </w:tcPr>
          <w:p w:rsidR="00D44D94" w:rsidRPr="00AF6AC3" w:rsidRDefault="00072FBB" w:rsidP="00D25CC6">
            <w:pPr>
              <w:rPr>
                <w:szCs w:val="20"/>
              </w:rPr>
            </w:pPr>
            <w:r>
              <w:rPr>
                <w:b/>
                <w:noProof/>
                <w:szCs w:val="20"/>
                <w:lang w:val="de-DE" w:eastAsia="de-DE"/>
              </w:rPr>
              <w:drawing>
                <wp:inline distT="0" distB="0" distL="0" distR="0">
                  <wp:extent cx="2397760" cy="1798320"/>
                  <wp:effectExtent l="19050" t="0" r="2540" b="0"/>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2397760" cy="1798320"/>
                          </a:xfrm>
                          <a:prstGeom prst="rect">
                            <a:avLst/>
                          </a:prstGeom>
                          <a:noFill/>
                          <a:ln w="9525">
                            <a:noFill/>
                            <a:miter lim="800000"/>
                            <a:headEnd/>
                            <a:tailEnd/>
                          </a:ln>
                        </pic:spPr>
                      </pic:pic>
                    </a:graphicData>
                  </a:graphic>
                </wp:inline>
              </w:drawing>
            </w:r>
          </w:p>
        </w:tc>
        <w:tc>
          <w:tcPr>
            <w:tcW w:w="4832" w:type="dxa"/>
          </w:tcPr>
          <w:p w:rsidR="00D44D94" w:rsidRPr="00AF6AC3" w:rsidRDefault="00D44D94" w:rsidP="00D25CC6">
            <w:pPr>
              <w:pStyle w:val="berschrift3"/>
            </w:pPr>
            <w:r w:rsidRPr="00AF6AC3">
              <w:t>B_Group_09019_HI</w:t>
            </w:r>
          </w:p>
          <w:p w:rsidR="00D44D94" w:rsidRPr="00AF6AC3" w:rsidRDefault="00D44D94" w:rsidP="00864A27">
            <w:pPr>
              <w:pStyle w:val="Text"/>
              <w:jc w:val="left"/>
              <w:rPr>
                <w:sz w:val="20"/>
                <w:szCs w:val="20"/>
              </w:rPr>
            </w:pPr>
            <w:r w:rsidRPr="00AF6AC3">
              <w:rPr>
                <w:sz w:val="20"/>
                <w:szCs w:val="20"/>
              </w:rPr>
              <w:t>« L</w:t>
            </w:r>
            <w:r w:rsidR="00864A27">
              <w:rPr>
                <w:sz w:val="20"/>
                <w:szCs w:val="20"/>
              </w:rPr>
              <w:t>e</w:t>
            </w:r>
            <w:r w:rsidRPr="00AF6AC3">
              <w:rPr>
                <w:sz w:val="20"/>
                <w:szCs w:val="20"/>
              </w:rPr>
              <w:t xml:space="preserve"> </w:t>
            </w:r>
            <w:proofErr w:type="spellStart"/>
            <w:r w:rsidRPr="00AF6AC3">
              <w:rPr>
                <w:sz w:val="20"/>
                <w:szCs w:val="20"/>
              </w:rPr>
              <w:t>Vögele</w:t>
            </w:r>
            <w:proofErr w:type="spellEnd"/>
            <w:r w:rsidRPr="00AF6AC3">
              <w:rPr>
                <w:sz w:val="20"/>
                <w:szCs w:val="20"/>
              </w:rPr>
              <w:t xml:space="preserve"> SUPER 1803-3 convainc par sa précision même sur les chantiers aux délais serrés tels que la pose d’enrobé sur les aéroports. La simplicité de commande et la possibilité de pouvoir contrôler et vérifier facilement les multiples paramètres sont une aide précieuse qui me permet </w:t>
            </w:r>
            <w:r>
              <w:rPr>
                <w:sz w:val="20"/>
                <w:szCs w:val="20"/>
              </w:rPr>
              <w:t xml:space="preserve">d’assurer </w:t>
            </w:r>
            <w:r w:rsidRPr="00AF6AC3">
              <w:rPr>
                <w:sz w:val="20"/>
                <w:szCs w:val="20"/>
              </w:rPr>
              <w:t>la</w:t>
            </w:r>
            <w:r>
              <w:rPr>
                <w:sz w:val="20"/>
                <w:szCs w:val="20"/>
              </w:rPr>
              <w:t xml:space="preserve"> meilleure</w:t>
            </w:r>
            <w:r w:rsidRPr="00AF6AC3">
              <w:rPr>
                <w:sz w:val="20"/>
                <w:szCs w:val="20"/>
              </w:rPr>
              <w:t xml:space="preserve"> qualité de pose », explique Enrico </w:t>
            </w:r>
            <w:proofErr w:type="spellStart"/>
            <w:r w:rsidRPr="00AF6AC3">
              <w:rPr>
                <w:sz w:val="20"/>
                <w:szCs w:val="20"/>
              </w:rPr>
              <w:t>Unida</w:t>
            </w:r>
            <w:proofErr w:type="spellEnd"/>
            <w:r w:rsidRPr="00AF6AC3">
              <w:rPr>
                <w:sz w:val="20"/>
                <w:szCs w:val="20"/>
              </w:rPr>
              <w:t xml:space="preserve">, conducteur de machine chez </w:t>
            </w:r>
            <w:proofErr w:type="spellStart"/>
            <w:r w:rsidRPr="00AF6AC3">
              <w:rPr>
                <w:sz w:val="20"/>
                <w:szCs w:val="20"/>
              </w:rPr>
              <w:t>Bindi</w:t>
            </w:r>
            <w:proofErr w:type="spellEnd"/>
            <w:r w:rsidRPr="00AF6AC3">
              <w:rPr>
                <w:sz w:val="20"/>
                <w:szCs w:val="20"/>
              </w:rPr>
              <w:t>.</w:t>
            </w:r>
          </w:p>
        </w:tc>
      </w:tr>
    </w:tbl>
    <w:p w:rsidR="00D44D94" w:rsidRPr="00AF6AC3" w:rsidRDefault="00D44D94"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66"/>
        <w:gridCol w:w="4842"/>
      </w:tblGrid>
      <w:tr w:rsidR="00D44D94" w:rsidRPr="00AF6AC3" w:rsidTr="00197D8A">
        <w:trPr>
          <w:tblCellSpacing w:w="71" w:type="dxa"/>
        </w:trPr>
        <w:tc>
          <w:tcPr>
            <w:tcW w:w="4832" w:type="dxa"/>
            <w:tcBorders>
              <w:right w:val="single" w:sz="4" w:space="0" w:color="auto"/>
            </w:tcBorders>
          </w:tcPr>
          <w:p w:rsidR="00D44D94" w:rsidRPr="00AF6AC3" w:rsidRDefault="00072FBB" w:rsidP="00D25CC6">
            <w:pPr>
              <w:rPr>
                <w:szCs w:val="20"/>
              </w:rPr>
            </w:pPr>
            <w:r>
              <w:rPr>
                <w:b/>
                <w:noProof/>
                <w:szCs w:val="20"/>
                <w:lang w:val="de-DE" w:eastAsia="de-DE"/>
              </w:rPr>
              <w:drawing>
                <wp:inline distT="0" distB="0" distL="0" distR="0">
                  <wp:extent cx="2397760" cy="1798320"/>
                  <wp:effectExtent l="19050" t="0" r="254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2397760" cy="1798320"/>
                          </a:xfrm>
                          <a:prstGeom prst="rect">
                            <a:avLst/>
                          </a:prstGeom>
                          <a:noFill/>
                          <a:ln w="9525">
                            <a:noFill/>
                            <a:miter lim="800000"/>
                            <a:headEnd/>
                            <a:tailEnd/>
                          </a:ln>
                        </pic:spPr>
                      </pic:pic>
                    </a:graphicData>
                  </a:graphic>
                </wp:inline>
              </w:drawing>
            </w:r>
          </w:p>
        </w:tc>
        <w:tc>
          <w:tcPr>
            <w:tcW w:w="4832" w:type="dxa"/>
          </w:tcPr>
          <w:p w:rsidR="00D44D94" w:rsidRPr="00AF6AC3" w:rsidRDefault="00D44D94" w:rsidP="00D25CC6">
            <w:pPr>
              <w:pStyle w:val="berschrift3"/>
            </w:pPr>
            <w:r w:rsidRPr="00AF6AC3">
              <w:t>B_Group_09031_HI</w:t>
            </w:r>
          </w:p>
          <w:p w:rsidR="00D44D94" w:rsidRPr="00AF6AC3" w:rsidRDefault="00D44D94" w:rsidP="00197D8A">
            <w:pPr>
              <w:pStyle w:val="Text"/>
              <w:jc w:val="left"/>
              <w:rPr>
                <w:sz w:val="20"/>
                <w:szCs w:val="20"/>
              </w:rPr>
            </w:pPr>
            <w:r w:rsidRPr="00AF6AC3">
              <w:rPr>
                <w:sz w:val="20"/>
                <w:szCs w:val="20"/>
              </w:rPr>
              <w:t xml:space="preserve">Travail d’équipe des compacteurs Hamm – sans </w:t>
            </w:r>
            <w:r>
              <w:rPr>
                <w:sz w:val="20"/>
                <w:szCs w:val="20"/>
              </w:rPr>
              <w:t>interruption du</w:t>
            </w:r>
            <w:r w:rsidRPr="00AF6AC3">
              <w:rPr>
                <w:sz w:val="20"/>
                <w:szCs w:val="20"/>
              </w:rPr>
              <w:t xml:space="preserve"> trafic aérien. La présence de jumbo-jets ne perturbe pa</w:t>
            </w:r>
            <w:r>
              <w:rPr>
                <w:sz w:val="20"/>
                <w:szCs w:val="20"/>
              </w:rPr>
              <w:t>s</w:t>
            </w:r>
            <w:r w:rsidRPr="00AF6AC3">
              <w:rPr>
                <w:sz w:val="20"/>
                <w:szCs w:val="20"/>
              </w:rPr>
              <w:t xml:space="preserve"> le compacteur tandem DV 90 </w:t>
            </w:r>
            <w:r>
              <w:rPr>
                <w:sz w:val="20"/>
                <w:szCs w:val="20"/>
              </w:rPr>
              <w:t>ni</w:t>
            </w:r>
            <w:r w:rsidRPr="00AF6AC3">
              <w:rPr>
                <w:sz w:val="20"/>
                <w:szCs w:val="20"/>
              </w:rPr>
              <w:t xml:space="preserve"> le compacteur sur pneus GRW 18 dans leur travail de compactage de l’enrobé frais. Le résultat en est une surface parfaite satisfaisant aux exigences de qualité </w:t>
            </w:r>
            <w:r>
              <w:rPr>
                <w:sz w:val="20"/>
                <w:szCs w:val="20"/>
              </w:rPr>
              <w:t xml:space="preserve">les plus </w:t>
            </w:r>
            <w:r w:rsidRPr="00AF6AC3">
              <w:rPr>
                <w:sz w:val="20"/>
                <w:szCs w:val="20"/>
              </w:rPr>
              <w:t>élevées requises en particulier sur les aéroport</w:t>
            </w:r>
            <w:r>
              <w:rPr>
                <w:sz w:val="20"/>
                <w:szCs w:val="20"/>
              </w:rPr>
              <w:t>s</w:t>
            </w:r>
            <w:r w:rsidRPr="00AF6AC3">
              <w:rPr>
                <w:sz w:val="20"/>
                <w:szCs w:val="20"/>
              </w:rPr>
              <w:t>.</w:t>
            </w:r>
          </w:p>
        </w:tc>
      </w:tr>
    </w:tbl>
    <w:p w:rsidR="00D44D94" w:rsidRPr="00AF6AC3" w:rsidRDefault="00D44D94"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66"/>
        <w:gridCol w:w="4842"/>
      </w:tblGrid>
      <w:tr w:rsidR="00D44D94" w:rsidRPr="00AF6AC3" w:rsidTr="00197D8A">
        <w:trPr>
          <w:tblCellSpacing w:w="71" w:type="dxa"/>
        </w:trPr>
        <w:tc>
          <w:tcPr>
            <w:tcW w:w="4832" w:type="dxa"/>
            <w:tcBorders>
              <w:right w:val="single" w:sz="4" w:space="0" w:color="auto"/>
            </w:tcBorders>
          </w:tcPr>
          <w:p w:rsidR="00D44D94" w:rsidRPr="00AF6AC3" w:rsidRDefault="00072FBB" w:rsidP="00D25CC6">
            <w:pPr>
              <w:rPr>
                <w:szCs w:val="20"/>
              </w:rPr>
            </w:pPr>
            <w:r>
              <w:rPr>
                <w:b/>
                <w:noProof/>
                <w:szCs w:val="20"/>
                <w:lang w:val="de-DE" w:eastAsia="de-DE"/>
              </w:rPr>
              <w:lastRenderedPageBreak/>
              <w:drawing>
                <wp:inline distT="0" distB="0" distL="0" distR="0">
                  <wp:extent cx="2397760" cy="1798320"/>
                  <wp:effectExtent l="19050" t="0" r="254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2397760" cy="1798320"/>
                          </a:xfrm>
                          <a:prstGeom prst="rect">
                            <a:avLst/>
                          </a:prstGeom>
                          <a:noFill/>
                          <a:ln w="9525">
                            <a:noFill/>
                            <a:miter lim="800000"/>
                            <a:headEnd/>
                            <a:tailEnd/>
                          </a:ln>
                        </pic:spPr>
                      </pic:pic>
                    </a:graphicData>
                  </a:graphic>
                </wp:inline>
              </w:drawing>
            </w:r>
          </w:p>
        </w:tc>
        <w:tc>
          <w:tcPr>
            <w:tcW w:w="4832" w:type="dxa"/>
          </w:tcPr>
          <w:p w:rsidR="00D44D94" w:rsidRPr="00AF6AC3" w:rsidRDefault="00D44D94" w:rsidP="00D25CC6">
            <w:pPr>
              <w:pStyle w:val="berschrift3"/>
            </w:pPr>
            <w:r w:rsidRPr="00AF6AC3">
              <w:t>B_Group_09065_HI</w:t>
            </w:r>
          </w:p>
          <w:p w:rsidR="00D44D94" w:rsidRPr="00AF6AC3" w:rsidRDefault="00D44D94" w:rsidP="00197D8A">
            <w:pPr>
              <w:pStyle w:val="Text"/>
              <w:jc w:val="left"/>
              <w:rPr>
                <w:sz w:val="20"/>
                <w:szCs w:val="20"/>
              </w:rPr>
            </w:pPr>
            <w:r w:rsidRPr="00AF6AC3">
              <w:rPr>
                <w:sz w:val="20"/>
                <w:szCs w:val="20"/>
              </w:rPr>
              <w:t xml:space="preserve">Les travaux de réfection se sont déroulés sans encombre malgré les nombreux défis </w:t>
            </w:r>
            <w:r>
              <w:rPr>
                <w:sz w:val="20"/>
                <w:szCs w:val="20"/>
              </w:rPr>
              <w:t>rencontrés sur place</w:t>
            </w:r>
            <w:r w:rsidRPr="00AF6AC3">
              <w:rPr>
                <w:sz w:val="20"/>
                <w:szCs w:val="20"/>
              </w:rPr>
              <w:t xml:space="preserve">. Un mérite qui, selon la directrice technique de </w:t>
            </w:r>
            <w:proofErr w:type="spellStart"/>
            <w:r w:rsidRPr="00AF6AC3">
              <w:rPr>
                <w:sz w:val="20"/>
                <w:szCs w:val="20"/>
              </w:rPr>
              <w:t>Bindi</w:t>
            </w:r>
            <w:proofErr w:type="spellEnd"/>
            <w:r w:rsidRPr="00AF6AC3">
              <w:rPr>
                <w:sz w:val="20"/>
                <w:szCs w:val="20"/>
              </w:rPr>
              <w:t xml:space="preserve">, Elena </w:t>
            </w:r>
            <w:proofErr w:type="spellStart"/>
            <w:r w:rsidRPr="00AF6AC3">
              <w:rPr>
                <w:sz w:val="20"/>
                <w:szCs w:val="20"/>
              </w:rPr>
              <w:t>Sturlini</w:t>
            </w:r>
            <w:proofErr w:type="spellEnd"/>
            <w:r w:rsidRPr="00AF6AC3">
              <w:rPr>
                <w:sz w:val="20"/>
                <w:szCs w:val="20"/>
              </w:rPr>
              <w:t>, revient aux machines et installations du Wirtgen Group : « Les technologies fiables du Wirtgen Group nous ont incontestablement apporté des conditions optimales ».</w:t>
            </w:r>
          </w:p>
        </w:tc>
      </w:tr>
    </w:tbl>
    <w:p w:rsidR="00D44D94" w:rsidRDefault="00D44D94" w:rsidP="00D166AC">
      <w:pPr>
        <w:pStyle w:val="Text"/>
      </w:pPr>
    </w:p>
    <w:p w:rsidR="00151E56" w:rsidRPr="004527D9" w:rsidRDefault="00151E56" w:rsidP="00151E56">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151E56" w:rsidRPr="002657E9" w:rsidRDefault="00151E56" w:rsidP="00151E56">
      <w:pPr>
        <w:pStyle w:val="Text"/>
      </w:pPr>
    </w:p>
    <w:p w:rsidR="00151E56" w:rsidRPr="002657E9" w:rsidRDefault="00151E56" w:rsidP="00151E56">
      <w:pPr>
        <w:pStyle w:val="Text"/>
      </w:pPr>
    </w:p>
    <w:tbl>
      <w:tblPr>
        <w:tblStyle w:val="Basic"/>
        <w:tblW w:w="0" w:type="auto"/>
        <w:tblLook w:val="04A0" w:firstRow="1" w:lastRow="0" w:firstColumn="1" w:lastColumn="0" w:noHBand="0" w:noVBand="1"/>
      </w:tblPr>
      <w:tblGrid>
        <w:gridCol w:w="4784"/>
        <w:gridCol w:w="4740"/>
      </w:tblGrid>
      <w:tr w:rsidR="00151E56" w:rsidTr="00371FCF">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151E56" w:rsidRPr="00BA6793" w:rsidRDefault="00151E56" w:rsidP="00371FCF">
            <w:pPr>
              <w:pStyle w:val="HeadlineKontakte"/>
              <w:rPr>
                <w:rFonts w:eastAsia="Calibri"/>
                <w:caps w:val="0"/>
                <w:szCs w:val="22"/>
              </w:rPr>
            </w:pPr>
            <w:r w:rsidRPr="00BA6793">
              <w:rPr>
                <w:rFonts w:cs="Arial"/>
              </w:rPr>
              <w:t>Vous obtiendrez de plus amples</w:t>
            </w:r>
          </w:p>
          <w:p w:rsidR="00151E56" w:rsidRPr="00A100EA" w:rsidRDefault="00151E56" w:rsidP="00371FCF">
            <w:pPr>
              <w:pStyle w:val="HeadlineKontakte"/>
            </w:pPr>
            <w:r w:rsidRPr="00A100EA">
              <w:rPr>
                <w:rFonts w:cs="Arial"/>
              </w:rPr>
              <w:t xml:space="preserve">informations auprès de </w:t>
            </w:r>
            <w:r w:rsidRPr="00A100EA">
              <w:t>:</w:t>
            </w:r>
          </w:p>
          <w:p w:rsidR="00151E56" w:rsidRPr="00151E56" w:rsidRDefault="00151E56" w:rsidP="00371FCF">
            <w:pPr>
              <w:pStyle w:val="Text"/>
              <w:rPr>
                <w:lang w:val="de-DE"/>
              </w:rPr>
            </w:pPr>
            <w:r w:rsidRPr="00151E56">
              <w:rPr>
                <w:lang w:val="de-DE"/>
              </w:rPr>
              <w:t>WIRTGEN GmbH</w:t>
            </w:r>
          </w:p>
          <w:p w:rsidR="00151E56" w:rsidRPr="00151E56" w:rsidRDefault="00151E56" w:rsidP="00371FCF">
            <w:pPr>
              <w:pStyle w:val="Text"/>
              <w:rPr>
                <w:lang w:val="de-DE"/>
              </w:rPr>
            </w:pPr>
            <w:r w:rsidRPr="00151E56">
              <w:rPr>
                <w:lang w:val="de-DE"/>
              </w:rPr>
              <w:t>Corporate Communications</w:t>
            </w:r>
          </w:p>
          <w:p w:rsidR="00151E56" w:rsidRPr="00151E56" w:rsidRDefault="00151E56" w:rsidP="00371FCF">
            <w:pPr>
              <w:pStyle w:val="Text"/>
              <w:rPr>
                <w:lang w:val="de-DE"/>
              </w:rPr>
            </w:pPr>
            <w:r w:rsidRPr="00151E56">
              <w:rPr>
                <w:lang w:val="de-DE"/>
              </w:rPr>
              <w:t>Michaela Adams, Mario Linnemann</w:t>
            </w:r>
          </w:p>
          <w:p w:rsidR="00151E56" w:rsidRPr="00151E56" w:rsidRDefault="00151E56" w:rsidP="00371FCF">
            <w:pPr>
              <w:pStyle w:val="Text"/>
              <w:rPr>
                <w:lang w:val="de-DE"/>
              </w:rPr>
            </w:pPr>
            <w:r w:rsidRPr="00151E56">
              <w:rPr>
                <w:lang w:val="de-DE"/>
              </w:rPr>
              <w:t>Reinhard-Wirtgen-Straße 2</w:t>
            </w:r>
          </w:p>
          <w:p w:rsidR="00151E56" w:rsidRPr="00151E56" w:rsidRDefault="00151E56" w:rsidP="00371FCF">
            <w:pPr>
              <w:pStyle w:val="Text"/>
              <w:rPr>
                <w:lang w:val="de-DE"/>
              </w:rPr>
            </w:pPr>
            <w:r w:rsidRPr="00151E56">
              <w:rPr>
                <w:lang w:val="de-DE"/>
              </w:rPr>
              <w:t>53578 Windhagen</w:t>
            </w:r>
          </w:p>
          <w:p w:rsidR="00151E56" w:rsidRPr="00B925BA" w:rsidRDefault="00151E56" w:rsidP="00371FCF">
            <w:pPr>
              <w:pStyle w:val="Text"/>
            </w:pPr>
            <w:r w:rsidRPr="00B925BA">
              <w:t>Allemagne</w:t>
            </w:r>
          </w:p>
          <w:p w:rsidR="00151E56" w:rsidRPr="00B925BA" w:rsidRDefault="00151E56" w:rsidP="00371FCF">
            <w:pPr>
              <w:pStyle w:val="Text"/>
            </w:pPr>
          </w:p>
          <w:p w:rsidR="00151E56" w:rsidRPr="00B925BA" w:rsidRDefault="00151E56" w:rsidP="00371FCF">
            <w:pPr>
              <w:pStyle w:val="Text"/>
            </w:pPr>
            <w:r w:rsidRPr="00B925BA">
              <w:t>Téléphone: +49 (0) 2645 131 – 0</w:t>
            </w:r>
          </w:p>
          <w:p w:rsidR="00151E56" w:rsidRPr="00B925BA" w:rsidRDefault="00151E56" w:rsidP="00371FCF">
            <w:pPr>
              <w:pStyle w:val="Text"/>
            </w:pPr>
            <w:proofErr w:type="spellStart"/>
            <w:r w:rsidRPr="00B925BA">
              <w:t>Telefax</w:t>
            </w:r>
            <w:proofErr w:type="spellEnd"/>
            <w:r w:rsidRPr="00B925BA">
              <w:t>:      +49 (0) 2645 131 – 499</w:t>
            </w:r>
          </w:p>
          <w:p w:rsidR="00151E56" w:rsidRPr="00B925BA" w:rsidRDefault="00151E56" w:rsidP="00371FCF">
            <w:pPr>
              <w:pStyle w:val="Text"/>
            </w:pPr>
            <w:r w:rsidRPr="00B925BA">
              <w:t>e-mail:        presse@wirtgen.com</w:t>
            </w:r>
          </w:p>
          <w:p w:rsidR="00151E56" w:rsidRPr="00D166AC" w:rsidRDefault="00151E56" w:rsidP="00371FCF">
            <w:pPr>
              <w:pStyle w:val="Text"/>
            </w:pPr>
            <w:r>
              <w:t>www.wirtgen.com</w:t>
            </w:r>
          </w:p>
        </w:tc>
        <w:tc>
          <w:tcPr>
            <w:tcW w:w="4832" w:type="dxa"/>
            <w:tcBorders>
              <w:left w:val="single" w:sz="48" w:space="0" w:color="FFFFFF" w:themeColor="background1"/>
            </w:tcBorders>
          </w:tcPr>
          <w:p w:rsidR="00151E56" w:rsidRPr="0034191A" w:rsidRDefault="00151E56" w:rsidP="00371FCF">
            <w:pPr>
              <w:pStyle w:val="Text"/>
            </w:pPr>
          </w:p>
        </w:tc>
      </w:tr>
    </w:tbl>
    <w:p w:rsidR="00151E56" w:rsidRPr="00AF6AC3" w:rsidRDefault="00151E56" w:rsidP="00D166AC">
      <w:pPr>
        <w:pStyle w:val="Text"/>
      </w:pPr>
    </w:p>
    <w:sectPr w:rsidR="00151E56" w:rsidRPr="00AF6AC3"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827" w:rsidRDefault="00FA0827" w:rsidP="00E55534">
      <w:r>
        <w:separator/>
      </w:r>
    </w:p>
  </w:endnote>
  <w:endnote w:type="continuationSeparator" w:id="0">
    <w:p w:rsidR="00FA0827" w:rsidRDefault="00FA082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D44D94" w:rsidRPr="00197D8A" w:rsidTr="00197D8A">
      <w:trPr>
        <w:trHeight w:hRule="exact" w:val="227"/>
      </w:trPr>
      <w:tc>
        <w:tcPr>
          <w:tcW w:w="8364" w:type="dxa"/>
        </w:tcPr>
        <w:p w:rsidR="00D44D94" w:rsidRPr="00197D8A" w:rsidRDefault="00D44D94" w:rsidP="00197D8A">
          <w:pPr>
            <w:pStyle w:val="Kolumnentitel"/>
            <w:rPr>
              <w:szCs w:val="20"/>
            </w:rPr>
          </w:pPr>
          <w:r w:rsidRPr="00197D8A">
            <w:rPr>
              <w:rStyle w:val="Platzhaltertext"/>
              <w:szCs w:val="20"/>
            </w:rPr>
            <w:t xml:space="preserve">     </w:t>
          </w:r>
        </w:p>
      </w:tc>
      <w:tc>
        <w:tcPr>
          <w:tcW w:w="1160" w:type="dxa"/>
        </w:tcPr>
        <w:p w:rsidR="00D44D94" w:rsidRPr="00197D8A" w:rsidRDefault="009A72DA" w:rsidP="00197D8A">
          <w:pPr>
            <w:pStyle w:val="Seitenzahlen"/>
            <w:rPr>
              <w:szCs w:val="20"/>
            </w:rPr>
          </w:pPr>
          <w:r w:rsidRPr="00197D8A">
            <w:rPr>
              <w:szCs w:val="20"/>
            </w:rPr>
            <w:fldChar w:fldCharType="begin"/>
          </w:r>
          <w:r w:rsidR="00D44D94" w:rsidRPr="00197D8A">
            <w:rPr>
              <w:szCs w:val="20"/>
            </w:rPr>
            <w:instrText xml:space="preserve"> PAGE \# "00"</w:instrText>
          </w:r>
          <w:r w:rsidRPr="00197D8A">
            <w:rPr>
              <w:szCs w:val="20"/>
            </w:rPr>
            <w:fldChar w:fldCharType="separate"/>
          </w:r>
          <w:r w:rsidR="008D2493">
            <w:rPr>
              <w:noProof/>
              <w:szCs w:val="20"/>
            </w:rPr>
            <w:t>07</w:t>
          </w:r>
          <w:r w:rsidRPr="00197D8A">
            <w:rPr>
              <w:szCs w:val="20"/>
            </w:rPr>
            <w:fldChar w:fldCharType="end"/>
          </w:r>
        </w:p>
      </w:tc>
    </w:tr>
  </w:tbl>
  <w:p w:rsidR="00D44D94" w:rsidRDefault="008D2493">
    <w:pPr>
      <w:pStyle w:val="Fuzeile"/>
    </w:pPr>
    <w:r>
      <w:rPr>
        <w:noProof/>
        <w:lang w:val="de-DE" w:eastAsia="de-DE"/>
      </w:rPr>
      <w:pict>
        <v:rect id="Rechteck 12" o:spid="_x0000_s2052" style="position:absolute;margin-left:59.55pt;margin-top:802.3pt;width:476.2pt;height:1.4pt;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D44D94" w:rsidRPr="00197D8A" w:rsidTr="00197D8A">
      <w:tc>
        <w:tcPr>
          <w:tcW w:w="9664" w:type="dxa"/>
        </w:tcPr>
        <w:p w:rsidR="00D44D94" w:rsidRPr="00197D8A" w:rsidRDefault="00D44D94" w:rsidP="00197D8A">
          <w:pPr>
            <w:pStyle w:val="Fuzeile"/>
            <w:spacing w:before="96" w:after="96"/>
            <w:rPr>
              <w:szCs w:val="20"/>
            </w:rPr>
          </w:pPr>
          <w:r w:rsidRPr="00AF6AC3">
            <w:rPr>
              <w:rStyle w:val="Hervorhebung"/>
              <w:szCs w:val="20"/>
              <w:lang w:val="de-DE"/>
            </w:rPr>
            <w:t>WIRTGEN GmbH</w:t>
          </w:r>
          <w:r w:rsidRPr="00AF6AC3">
            <w:rPr>
              <w:szCs w:val="20"/>
              <w:lang w:val="de-DE"/>
            </w:rPr>
            <w:t xml:space="preserve"> · Reinhard-Wirtgen-Str. </w:t>
          </w:r>
          <w:r w:rsidRPr="00197D8A">
            <w:rPr>
              <w:szCs w:val="20"/>
            </w:rPr>
            <w:t xml:space="preserve">2 · D-53578 </w:t>
          </w:r>
          <w:proofErr w:type="spellStart"/>
          <w:r w:rsidRPr="00197D8A">
            <w:rPr>
              <w:szCs w:val="20"/>
            </w:rPr>
            <w:t>Windhagen</w:t>
          </w:r>
          <w:proofErr w:type="spellEnd"/>
          <w:r w:rsidRPr="00197D8A">
            <w:rPr>
              <w:szCs w:val="20"/>
            </w:rPr>
            <w:t xml:space="preserve"> · T: +49 26 45 / 131 0</w:t>
          </w:r>
        </w:p>
      </w:tc>
    </w:tr>
  </w:tbl>
  <w:p w:rsidR="00D44D94" w:rsidRDefault="008D2493">
    <w:pPr>
      <w:pStyle w:val="Fuzeile"/>
    </w:pPr>
    <w:r>
      <w:rPr>
        <w:noProof/>
        <w:lang w:val="de-DE" w:eastAsia="de-DE"/>
      </w:rPr>
      <w:pict>
        <v:rect id="Rechteck 6" o:spid="_x0000_s2056"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827" w:rsidRDefault="00FA0827" w:rsidP="00E55534">
      <w:r>
        <w:separator/>
      </w:r>
    </w:p>
  </w:footnote>
  <w:footnote w:type="continuationSeparator" w:id="0">
    <w:p w:rsidR="00FA0827" w:rsidRDefault="00FA0827"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D94" w:rsidRPr="002E765F" w:rsidRDefault="00072FBB">
    <w:pPr>
      <w:pStyle w:val="Kopfzeile"/>
      <w:rPr>
        <w:noProof/>
        <w:sz w:val="14"/>
        <w:lang w:eastAsia="de-DE"/>
      </w:rPr>
    </w:pPr>
    <w:r>
      <w:rPr>
        <w:noProof/>
        <w:lang w:val="de-DE" w:eastAsia="de-DE"/>
      </w:rPr>
      <w:drawing>
        <wp:anchor distT="0" distB="0" distL="114300" distR="114300" simplePos="0" relativeHeight="251660288" behindDoc="0" locked="0" layoutInCell="1" allowOverlap="1">
          <wp:simplePos x="0" y="0"/>
          <wp:positionH relativeFrom="page">
            <wp:posOffset>756285</wp:posOffset>
          </wp:positionH>
          <wp:positionV relativeFrom="page">
            <wp:posOffset>288290</wp:posOffset>
          </wp:positionV>
          <wp:extent cx="2635250" cy="288290"/>
          <wp:effectExtent l="19050" t="0" r="0" b="0"/>
          <wp:wrapNone/>
          <wp:docPr id="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
                  <a:srcRect/>
                  <a:stretch>
                    <a:fillRect/>
                  </a:stretch>
                </pic:blipFill>
                <pic:spPr bwMode="auto">
                  <a:xfrm>
                    <a:off x="0" y="0"/>
                    <a:ext cx="2635250" cy="288290"/>
                  </a:xfrm>
                  <a:prstGeom prst="rect">
                    <a:avLst/>
                  </a:prstGeom>
                  <a:noFill/>
                </pic:spPr>
              </pic:pic>
            </a:graphicData>
          </a:graphic>
        </wp:anchor>
      </w:drawing>
    </w: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D44D94" w:rsidRPr="00197D8A" w:rsidTr="00197D8A">
      <w:trPr>
        <w:trHeight w:hRule="exact" w:val="510"/>
      </w:trPr>
      <w:tc>
        <w:tcPr>
          <w:tcW w:w="3439" w:type="dxa"/>
        </w:tcPr>
        <w:p w:rsidR="00D44D94" w:rsidRPr="00197D8A" w:rsidRDefault="00D44D94" w:rsidP="00197D8A">
          <w:pPr>
            <w:pStyle w:val="Titel"/>
            <w:jc w:val="right"/>
            <w:rPr>
              <w:sz w:val="32"/>
              <w:szCs w:val="34"/>
            </w:rPr>
          </w:pPr>
          <w:r w:rsidRPr="00197D8A">
            <w:rPr>
              <w:sz w:val="32"/>
              <w:szCs w:val="34"/>
            </w:rPr>
            <w:t xml:space="preserve">PRESS </w:t>
          </w:r>
          <w:r w:rsidRPr="00197D8A">
            <w:rPr>
              <w:sz w:val="6"/>
              <w:szCs w:val="2"/>
            </w:rPr>
            <w:t xml:space="preserve"> </w:t>
          </w:r>
          <w:r w:rsidRPr="00197D8A">
            <w:rPr>
              <w:sz w:val="32"/>
              <w:szCs w:val="34"/>
            </w:rPr>
            <w:t>RELEASE</w:t>
          </w:r>
        </w:p>
      </w:tc>
    </w:tr>
  </w:tbl>
  <w:p w:rsidR="00D44D94" w:rsidRPr="002E765F" w:rsidRDefault="00072FBB">
    <w:pPr>
      <w:pStyle w:val="Kopfzeile"/>
      <w:rPr>
        <w:sz w:val="14"/>
      </w:rPr>
    </w:pPr>
    <w:r>
      <w:rPr>
        <w:noProof/>
        <w:lang w:val="de-DE" w:eastAsia="de-DE"/>
      </w:rPr>
      <w:drawing>
        <wp:anchor distT="0" distB="0" distL="114300" distR="114300" simplePos="0" relativeHeight="251661312" behindDoc="0" locked="0" layoutInCell="1" allowOverlap="1">
          <wp:simplePos x="0" y="0"/>
          <wp:positionH relativeFrom="page">
            <wp:posOffset>5443855</wp:posOffset>
          </wp:positionH>
          <wp:positionV relativeFrom="page">
            <wp:posOffset>323850</wp:posOffset>
          </wp:positionV>
          <wp:extent cx="1360805" cy="71755"/>
          <wp:effectExtent l="19050" t="0" r="0" b="0"/>
          <wp:wrapNone/>
          <wp:docPr id="2"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2"/>
                  <a:srcRect/>
                  <a:stretch>
                    <a:fillRect/>
                  </a:stretch>
                </pic:blipFill>
                <pic:spPr bwMode="auto">
                  <a:xfrm>
                    <a:off x="0" y="0"/>
                    <a:ext cx="1360805" cy="71755"/>
                  </a:xfrm>
                  <a:prstGeom prst="rect">
                    <a:avLst/>
                  </a:prstGeom>
                  <a:noFill/>
                </pic:spPr>
              </pic:pic>
            </a:graphicData>
          </a:graphic>
        </wp:anchor>
      </w:drawing>
    </w:r>
    <w:r w:rsidR="008D2493">
      <w:rPr>
        <w:noProof/>
        <w:lang w:val="de-DE" w:eastAsia="de-DE"/>
      </w:rPr>
      <w:pict>
        <v:rect id="Rechteck 11" o:spid="_x0000_s2051" style="position:absolute;margin-left:59.55pt;margin-top:55.3pt;width:476.2pt;height:2.85pt;z-index:251658240;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D94" w:rsidRDefault="008D2493">
    <w:pPr>
      <w:pStyle w:val="Kopfzeile"/>
    </w:pPr>
    <w:r>
      <w:rPr>
        <w:noProof/>
        <w:lang w:val="de-DE" w:eastAsia="de-DE"/>
      </w:rPr>
      <w:pict>
        <v:rect id="Rechteck 5" o:spid="_x0000_s2053"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sidR="00072FBB">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072FBB">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05pt;height:1499.05pt" o:bullet="t">
        <v:imagedata r:id="rId1" o:title=""/>
      </v:shape>
    </w:pict>
  </w:numPicBullet>
  <w:numPicBullet w:numPicBulletId="1">
    <w:pict>
      <v:shape id="_x0000_i1030" type="#_x0000_t75" style="width:6.5pt;height:6.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27118"/>
    <w:rsid w:val="000110BC"/>
    <w:rsid w:val="00020D28"/>
    <w:rsid w:val="00040C31"/>
    <w:rsid w:val="00042106"/>
    <w:rsid w:val="000423C9"/>
    <w:rsid w:val="0005285B"/>
    <w:rsid w:val="000529F4"/>
    <w:rsid w:val="00066D09"/>
    <w:rsid w:val="00072FBB"/>
    <w:rsid w:val="00086FE6"/>
    <w:rsid w:val="000922C7"/>
    <w:rsid w:val="000949D4"/>
    <w:rsid w:val="0009665C"/>
    <w:rsid w:val="00097A58"/>
    <w:rsid w:val="000A133A"/>
    <w:rsid w:val="000C7A0B"/>
    <w:rsid w:val="00103205"/>
    <w:rsid w:val="00111213"/>
    <w:rsid w:val="0012026F"/>
    <w:rsid w:val="00132055"/>
    <w:rsid w:val="001433C9"/>
    <w:rsid w:val="00151E56"/>
    <w:rsid w:val="001936A8"/>
    <w:rsid w:val="00196F25"/>
    <w:rsid w:val="00197D8A"/>
    <w:rsid w:val="001B11DB"/>
    <w:rsid w:val="001B16BB"/>
    <w:rsid w:val="001C12A3"/>
    <w:rsid w:val="001C7FF9"/>
    <w:rsid w:val="001F24A3"/>
    <w:rsid w:val="0022628D"/>
    <w:rsid w:val="00230C3B"/>
    <w:rsid w:val="00253A2E"/>
    <w:rsid w:val="00262491"/>
    <w:rsid w:val="002708A2"/>
    <w:rsid w:val="00290B3D"/>
    <w:rsid w:val="0029634D"/>
    <w:rsid w:val="002A342F"/>
    <w:rsid w:val="002E5CDF"/>
    <w:rsid w:val="002E765F"/>
    <w:rsid w:val="002F108B"/>
    <w:rsid w:val="0030316D"/>
    <w:rsid w:val="003244CD"/>
    <w:rsid w:val="0034191A"/>
    <w:rsid w:val="00342A27"/>
    <w:rsid w:val="00343CC7"/>
    <w:rsid w:val="003629C8"/>
    <w:rsid w:val="00363B45"/>
    <w:rsid w:val="00383340"/>
    <w:rsid w:val="00384A08"/>
    <w:rsid w:val="00387B1A"/>
    <w:rsid w:val="0039543B"/>
    <w:rsid w:val="003A753A"/>
    <w:rsid w:val="003A761F"/>
    <w:rsid w:val="003E1CB6"/>
    <w:rsid w:val="003E3CF6"/>
    <w:rsid w:val="003E6A3B"/>
    <w:rsid w:val="003E759F"/>
    <w:rsid w:val="003E7853"/>
    <w:rsid w:val="003F06F7"/>
    <w:rsid w:val="003F37AE"/>
    <w:rsid w:val="00403373"/>
    <w:rsid w:val="00406C81"/>
    <w:rsid w:val="00412545"/>
    <w:rsid w:val="00427118"/>
    <w:rsid w:val="00430BB0"/>
    <w:rsid w:val="00440ADC"/>
    <w:rsid w:val="004A3421"/>
    <w:rsid w:val="004A4505"/>
    <w:rsid w:val="004A4A4C"/>
    <w:rsid w:val="004B6129"/>
    <w:rsid w:val="004D183D"/>
    <w:rsid w:val="004E53FA"/>
    <w:rsid w:val="004E6EF5"/>
    <w:rsid w:val="00502369"/>
    <w:rsid w:val="0050374F"/>
    <w:rsid w:val="00505D0F"/>
    <w:rsid w:val="00506409"/>
    <w:rsid w:val="00513A27"/>
    <w:rsid w:val="0052019E"/>
    <w:rsid w:val="00522EB8"/>
    <w:rsid w:val="00530E32"/>
    <w:rsid w:val="00543804"/>
    <w:rsid w:val="00557ED2"/>
    <w:rsid w:val="005711A3"/>
    <w:rsid w:val="00573B2B"/>
    <w:rsid w:val="005776E9"/>
    <w:rsid w:val="00582768"/>
    <w:rsid w:val="005A01D0"/>
    <w:rsid w:val="005A18A1"/>
    <w:rsid w:val="005A4F04"/>
    <w:rsid w:val="005B1373"/>
    <w:rsid w:val="005B5793"/>
    <w:rsid w:val="005E6006"/>
    <w:rsid w:val="005F2A5E"/>
    <w:rsid w:val="00616AA3"/>
    <w:rsid w:val="0062039A"/>
    <w:rsid w:val="00623165"/>
    <w:rsid w:val="006330A2"/>
    <w:rsid w:val="00642EB6"/>
    <w:rsid w:val="0064334E"/>
    <w:rsid w:val="006435FD"/>
    <w:rsid w:val="006A16CC"/>
    <w:rsid w:val="006E533C"/>
    <w:rsid w:val="006F7602"/>
    <w:rsid w:val="00707E3B"/>
    <w:rsid w:val="00722A17"/>
    <w:rsid w:val="0072489E"/>
    <w:rsid w:val="00757B83"/>
    <w:rsid w:val="0076341C"/>
    <w:rsid w:val="00764A4C"/>
    <w:rsid w:val="0077353A"/>
    <w:rsid w:val="00773816"/>
    <w:rsid w:val="00781F93"/>
    <w:rsid w:val="0078337C"/>
    <w:rsid w:val="00791A69"/>
    <w:rsid w:val="00794830"/>
    <w:rsid w:val="00797CAA"/>
    <w:rsid w:val="007B39C2"/>
    <w:rsid w:val="007C2658"/>
    <w:rsid w:val="007E20D0"/>
    <w:rsid w:val="00802CDA"/>
    <w:rsid w:val="00804032"/>
    <w:rsid w:val="008071F7"/>
    <w:rsid w:val="00811ED7"/>
    <w:rsid w:val="00815E8F"/>
    <w:rsid w:val="00820315"/>
    <w:rsid w:val="008309B5"/>
    <w:rsid w:val="008427F2"/>
    <w:rsid w:val="00843B45"/>
    <w:rsid w:val="00863129"/>
    <w:rsid w:val="00864A27"/>
    <w:rsid w:val="008B5FD3"/>
    <w:rsid w:val="008C2965"/>
    <w:rsid w:val="008C2DB2"/>
    <w:rsid w:val="008C36F5"/>
    <w:rsid w:val="008D2493"/>
    <w:rsid w:val="008D770E"/>
    <w:rsid w:val="008E11E0"/>
    <w:rsid w:val="008E57B6"/>
    <w:rsid w:val="0090337E"/>
    <w:rsid w:val="00915567"/>
    <w:rsid w:val="00923B14"/>
    <w:rsid w:val="009563C0"/>
    <w:rsid w:val="00966C80"/>
    <w:rsid w:val="00987CFE"/>
    <w:rsid w:val="009A1D7D"/>
    <w:rsid w:val="009A72DA"/>
    <w:rsid w:val="009C2378"/>
    <w:rsid w:val="009D016F"/>
    <w:rsid w:val="009D3BBB"/>
    <w:rsid w:val="009D44E9"/>
    <w:rsid w:val="009D50F8"/>
    <w:rsid w:val="009E251D"/>
    <w:rsid w:val="009F7403"/>
    <w:rsid w:val="00A171F4"/>
    <w:rsid w:val="00A24EFC"/>
    <w:rsid w:val="00A27F24"/>
    <w:rsid w:val="00A571AE"/>
    <w:rsid w:val="00A7482D"/>
    <w:rsid w:val="00A74DE8"/>
    <w:rsid w:val="00A87FB6"/>
    <w:rsid w:val="00A977CE"/>
    <w:rsid w:val="00AB4FE3"/>
    <w:rsid w:val="00AC0EC3"/>
    <w:rsid w:val="00AC1599"/>
    <w:rsid w:val="00AD131F"/>
    <w:rsid w:val="00AD64A1"/>
    <w:rsid w:val="00AE726F"/>
    <w:rsid w:val="00AF0C5E"/>
    <w:rsid w:val="00AF288F"/>
    <w:rsid w:val="00AF3B3A"/>
    <w:rsid w:val="00AF6569"/>
    <w:rsid w:val="00AF6AC3"/>
    <w:rsid w:val="00B06265"/>
    <w:rsid w:val="00B06FD0"/>
    <w:rsid w:val="00B14546"/>
    <w:rsid w:val="00B271B9"/>
    <w:rsid w:val="00B50CB9"/>
    <w:rsid w:val="00B54B74"/>
    <w:rsid w:val="00B573D3"/>
    <w:rsid w:val="00B63284"/>
    <w:rsid w:val="00B632ED"/>
    <w:rsid w:val="00B90F78"/>
    <w:rsid w:val="00BD0FD1"/>
    <w:rsid w:val="00BD1058"/>
    <w:rsid w:val="00BF56B2"/>
    <w:rsid w:val="00C1113D"/>
    <w:rsid w:val="00C457C3"/>
    <w:rsid w:val="00C51C62"/>
    <w:rsid w:val="00C524BB"/>
    <w:rsid w:val="00C564A0"/>
    <w:rsid w:val="00C57435"/>
    <w:rsid w:val="00C644CA"/>
    <w:rsid w:val="00C6698C"/>
    <w:rsid w:val="00C73005"/>
    <w:rsid w:val="00C80918"/>
    <w:rsid w:val="00C90C58"/>
    <w:rsid w:val="00CA2ABF"/>
    <w:rsid w:val="00CB14E1"/>
    <w:rsid w:val="00CD3DD2"/>
    <w:rsid w:val="00CF36C9"/>
    <w:rsid w:val="00CF5321"/>
    <w:rsid w:val="00CF7673"/>
    <w:rsid w:val="00D01755"/>
    <w:rsid w:val="00D166AC"/>
    <w:rsid w:val="00D25CC6"/>
    <w:rsid w:val="00D44D94"/>
    <w:rsid w:val="00D53CC0"/>
    <w:rsid w:val="00D60248"/>
    <w:rsid w:val="00D62596"/>
    <w:rsid w:val="00D676FD"/>
    <w:rsid w:val="00D7062E"/>
    <w:rsid w:val="00D7475B"/>
    <w:rsid w:val="00D7572B"/>
    <w:rsid w:val="00D76E4C"/>
    <w:rsid w:val="00D77012"/>
    <w:rsid w:val="00D93DD4"/>
    <w:rsid w:val="00DB4041"/>
    <w:rsid w:val="00DB4BB0"/>
    <w:rsid w:val="00DC39B8"/>
    <w:rsid w:val="00DE6383"/>
    <w:rsid w:val="00E11CF5"/>
    <w:rsid w:val="00E14608"/>
    <w:rsid w:val="00E210EE"/>
    <w:rsid w:val="00E21E67"/>
    <w:rsid w:val="00E222D9"/>
    <w:rsid w:val="00E274BA"/>
    <w:rsid w:val="00E30EBF"/>
    <w:rsid w:val="00E312C2"/>
    <w:rsid w:val="00E33E06"/>
    <w:rsid w:val="00E45E3C"/>
    <w:rsid w:val="00E52D70"/>
    <w:rsid w:val="00E55534"/>
    <w:rsid w:val="00E67A4B"/>
    <w:rsid w:val="00E75477"/>
    <w:rsid w:val="00E75BBC"/>
    <w:rsid w:val="00E77A3D"/>
    <w:rsid w:val="00E77C2F"/>
    <w:rsid w:val="00E82842"/>
    <w:rsid w:val="00E867AE"/>
    <w:rsid w:val="00E914D1"/>
    <w:rsid w:val="00E91871"/>
    <w:rsid w:val="00EA13B0"/>
    <w:rsid w:val="00EB17FE"/>
    <w:rsid w:val="00EB5FC6"/>
    <w:rsid w:val="00EB7D03"/>
    <w:rsid w:val="00EE12D7"/>
    <w:rsid w:val="00F20920"/>
    <w:rsid w:val="00F234E0"/>
    <w:rsid w:val="00F32894"/>
    <w:rsid w:val="00F56318"/>
    <w:rsid w:val="00F75B79"/>
    <w:rsid w:val="00F82525"/>
    <w:rsid w:val="00F97FEA"/>
    <w:rsid w:val="00FA0827"/>
    <w:rsid w:val="00FA7994"/>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3E7853"/>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30316D"/>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30316D"/>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3E7853"/>
    <w:pPr>
      <w:numPr>
        <w:numId w:val="22"/>
      </w:numPr>
      <w:spacing w:after="120" w:line="280" w:lineRule="atLeast"/>
      <w:contextualSpacing/>
    </w:pPr>
    <w:rPr>
      <w:sz w:val="22"/>
    </w:rPr>
  </w:style>
  <w:style w:type="paragraph" w:customStyle="1" w:styleId="Bulletpoint2">
    <w:name w:val="Bulletpoint 2"/>
    <w:basedOn w:val="Standard"/>
    <w:uiPriority w:val="99"/>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3E7853"/>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rsid w:val="00623165"/>
    <w:rPr>
      <w:rFonts w:cs="Times New Roman"/>
      <w:sz w:val="16"/>
      <w:szCs w:val="16"/>
    </w:rPr>
  </w:style>
  <w:style w:type="paragraph" w:styleId="Kommentartext">
    <w:name w:val="annotation text"/>
    <w:basedOn w:val="Standard"/>
    <w:link w:val="KommentartextZchn"/>
    <w:uiPriority w:val="99"/>
    <w:semiHidden/>
    <w:rsid w:val="00623165"/>
    <w:rPr>
      <w:sz w:val="20"/>
      <w:szCs w:val="20"/>
    </w:rPr>
  </w:style>
  <w:style w:type="character" w:customStyle="1" w:styleId="KommentartextZchn">
    <w:name w:val="Kommentartext Zchn"/>
    <w:basedOn w:val="Absatz-Standardschriftart"/>
    <w:link w:val="Kommentartext"/>
    <w:uiPriority w:val="99"/>
    <w:semiHidden/>
    <w:rsid w:val="00614E8C"/>
    <w:rPr>
      <w:sz w:val="20"/>
      <w:szCs w:val="20"/>
      <w:lang w:val="fr-FR" w:eastAsia="en-US"/>
    </w:rPr>
  </w:style>
  <w:style w:type="paragraph" w:styleId="Kommentarthema">
    <w:name w:val="annotation subject"/>
    <w:basedOn w:val="Kommentartext"/>
    <w:next w:val="Kommentartext"/>
    <w:link w:val="KommentarthemaZchn"/>
    <w:uiPriority w:val="99"/>
    <w:semiHidden/>
    <w:rsid w:val="00623165"/>
    <w:rPr>
      <w:b/>
      <w:bCs/>
    </w:rPr>
  </w:style>
  <w:style w:type="character" w:customStyle="1" w:styleId="KommentarthemaZchn">
    <w:name w:val="Kommentarthema Zchn"/>
    <w:basedOn w:val="KommentartextZchn"/>
    <w:link w:val="Kommentarthema"/>
    <w:uiPriority w:val="99"/>
    <w:semiHidden/>
    <w:rsid w:val="00614E8C"/>
    <w:rPr>
      <w:b/>
      <w:bCs/>
      <w:sz w:val="20"/>
      <w:szCs w:val="20"/>
      <w:lang w:val="fr-FR" w:eastAsia="en-US"/>
    </w:rPr>
  </w:style>
  <w:style w:type="numbering" w:customStyle="1" w:styleId="zzzBulletpoints">
    <w:name w:val="zzz_Bulletpoints"/>
    <w:rsid w:val="00614E8C"/>
    <w:pPr>
      <w:numPr>
        <w:numId w:val="22"/>
      </w:numPr>
    </w:pPr>
  </w:style>
  <w:style w:type="numbering" w:customStyle="1" w:styleId="zzzThemen">
    <w:name w:val="zzz_Themen"/>
    <w:rsid w:val="00614E8C"/>
    <w:pPr>
      <w:numPr>
        <w:numId w:val="18"/>
      </w:numPr>
    </w:pPr>
  </w:style>
  <w:style w:type="numbering" w:customStyle="1" w:styleId="zzzNummerierung">
    <w:name w:val="zzz_Nummerierung"/>
    <w:rsid w:val="00614E8C"/>
    <w:pPr>
      <w:numPr>
        <w:numId w:val="24"/>
      </w:numPr>
    </w:pPr>
  </w:style>
  <w:style w:type="numbering" w:customStyle="1" w:styleId="zzzHeadlines">
    <w:name w:val="zzz_Headlines"/>
    <w:rsid w:val="00614E8C"/>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zzzBulletpoints"/>
    <w:pPr>
      <w:numPr>
        <w:numId w:val="22"/>
      </w:numPr>
    </w:pPr>
  </w:style>
  <w:style w:type="numbering" w:customStyle="1" w:styleId="berschrift2Zchn">
    <w:name w:val="zzzThemen"/>
    <w:pPr>
      <w:numPr>
        <w:numId w:val="18"/>
      </w:numPr>
    </w:pPr>
  </w:style>
  <w:style w:type="numbering" w:customStyle="1" w:styleId="berschrift3Zchn">
    <w:name w:val="zzzNummerierung"/>
    <w:pPr>
      <w:numPr>
        <w:numId w:val="24"/>
      </w:numPr>
    </w:pPr>
  </w:style>
  <w:style w:type="numbering" w:customStyle="1" w:styleId="berschrift4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1973</Words>
  <Characters>10383</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Aéroport de Bologne : les technologies du Wirtgen Group jouent un rôle clé</vt:lpstr>
    </vt:vector>
  </TitlesOfParts>
  <Company>wir-lieben-office.de</Company>
  <LinksUpToDate>false</LinksUpToDate>
  <CharactersWithSpaces>12332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Aéroport de Bologne : les technologies du Wirtgen Group jouent un rôle clé</dc:title>
  <dc:creator>Schüler Angelika</dc:creator>
  <cp:lastModifiedBy>Schüler Angelika</cp:lastModifiedBy>
  <cp:revision>7</cp:revision>
  <dcterms:created xsi:type="dcterms:W3CDTF">2016-08-21T21:35:00Z</dcterms:created>
  <dcterms:modified xsi:type="dcterms:W3CDTF">2016-10-13T08:16:00Z</dcterms:modified>
</cp:coreProperties>
</file>